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F3D9D" w14:textId="77777777" w:rsidR="00D30367" w:rsidRPr="00F0266A" w:rsidRDefault="00D30367" w:rsidP="00F0266A">
      <w:pPr>
        <w:jc w:val="center"/>
        <w:rPr>
          <w:rStyle w:val="a5"/>
          <w:rFonts w:ascii="Times New Roman" w:hAnsi="Times New Roman"/>
        </w:rPr>
      </w:pPr>
      <w:r w:rsidRPr="00F0266A">
        <w:rPr>
          <w:rStyle w:val="a5"/>
          <w:rFonts w:ascii="Times New Roman" w:hAnsi="Times New Roman"/>
        </w:rPr>
        <w:t>ТЕРПЕНОИДЫ КАК ПОТЕНЦИАЛЬНЫЕ ГЕРОПРОТЕКТОРЫ: ИТОГИ НОВЫХ НАБЛЮДЕНИЙ</w:t>
      </w:r>
    </w:p>
    <w:p w14:paraId="6BDB8E11" w14:textId="77777777" w:rsidR="00F0266A" w:rsidRPr="00F0266A" w:rsidRDefault="00F0266A" w:rsidP="00F0266A">
      <w:pPr>
        <w:jc w:val="center"/>
        <w:rPr>
          <w:rStyle w:val="a5"/>
          <w:rFonts w:ascii="Times New Roman" w:eastAsia="Times New Roman" w:hAnsi="Times New Roman" w:cs="Times New Roman"/>
        </w:rPr>
      </w:pPr>
    </w:p>
    <w:p w14:paraId="60E620CE" w14:textId="77777777" w:rsidR="00D30367" w:rsidRPr="00F0266A" w:rsidRDefault="00D30367" w:rsidP="00F0266A">
      <w:pPr>
        <w:jc w:val="center"/>
        <w:rPr>
          <w:rStyle w:val="a5"/>
          <w:rFonts w:ascii="Times New Roman" w:hAnsi="Times New Roman"/>
        </w:rPr>
      </w:pPr>
      <w:r w:rsidRPr="00F0266A">
        <w:rPr>
          <w:rStyle w:val="a5"/>
          <w:rFonts w:ascii="Times New Roman" w:hAnsi="Times New Roman"/>
        </w:rPr>
        <w:t>Маганова Ф</w:t>
      </w:r>
      <w:r w:rsidR="00F0266A" w:rsidRPr="00F0266A">
        <w:rPr>
          <w:rStyle w:val="a5"/>
          <w:rFonts w:ascii="Times New Roman" w:hAnsi="Times New Roman"/>
        </w:rPr>
        <w:t>.</w:t>
      </w:r>
      <w:r w:rsidRPr="00F0266A">
        <w:rPr>
          <w:rStyle w:val="a5"/>
          <w:rFonts w:ascii="Times New Roman" w:hAnsi="Times New Roman"/>
        </w:rPr>
        <w:t xml:space="preserve"> И</w:t>
      </w:r>
      <w:r w:rsidR="00F0266A" w:rsidRPr="00F0266A">
        <w:rPr>
          <w:rStyle w:val="a5"/>
          <w:rFonts w:ascii="Times New Roman" w:hAnsi="Times New Roman"/>
        </w:rPr>
        <w:t>.</w:t>
      </w:r>
      <w:r w:rsidRPr="00F0266A">
        <w:rPr>
          <w:rStyle w:val="a5"/>
          <w:rFonts w:ascii="Times New Roman" w:hAnsi="Times New Roman"/>
        </w:rPr>
        <w:t>, генеральный директор, ООО «Инитиум-Фарм»,</w:t>
      </w:r>
    </w:p>
    <w:p w14:paraId="778557C6" w14:textId="77777777" w:rsidR="00F0266A" w:rsidRPr="00F0266A" w:rsidRDefault="00F0266A" w:rsidP="00F0266A">
      <w:pPr>
        <w:jc w:val="center"/>
        <w:rPr>
          <w:rFonts w:ascii="Times New Roman" w:hAnsi="Times New Roman"/>
          <w:lang w:val="en-US"/>
        </w:rPr>
      </w:pPr>
      <w:r w:rsidRPr="00F0266A">
        <w:rPr>
          <w:rFonts w:ascii="Times New Roman" w:hAnsi="Times New Roman"/>
          <w:lang w:val="en-US"/>
        </w:rPr>
        <w:t xml:space="preserve">e-mail: </w:t>
      </w:r>
      <w:hyperlink r:id="rId7" w:history="1">
        <w:r w:rsidRPr="00F0266A">
          <w:rPr>
            <w:rStyle w:val="a3"/>
            <w:rFonts w:ascii="Times New Roman" w:hAnsi="Times New Roman"/>
            <w:lang w:val="en-US"/>
          </w:rPr>
          <w:t>fmaganova@initium-pharm.com</w:t>
        </w:r>
      </w:hyperlink>
    </w:p>
    <w:p w14:paraId="51853812" w14:textId="77777777" w:rsidR="00F0266A" w:rsidRPr="00F0266A" w:rsidRDefault="00F0266A" w:rsidP="00F0266A">
      <w:pPr>
        <w:spacing w:after="240"/>
        <w:jc w:val="center"/>
        <w:rPr>
          <w:rStyle w:val="a5"/>
          <w:rFonts w:ascii="Times New Roman" w:eastAsia="Times New Roman" w:hAnsi="Times New Roman" w:cs="Times New Roman"/>
          <w:lang w:val="en-US"/>
        </w:rPr>
      </w:pPr>
    </w:p>
    <w:p w14:paraId="7EC4EF2A" w14:textId="77777777" w:rsidR="00D30367" w:rsidRPr="00F0266A" w:rsidRDefault="00D30367" w:rsidP="00F0266A">
      <w:pPr>
        <w:spacing w:after="240"/>
        <w:jc w:val="both"/>
        <w:rPr>
          <w:rStyle w:val="a5"/>
          <w:rFonts w:ascii="Times New Roman" w:eastAsia="Times New Roman" w:hAnsi="Times New Roman" w:cs="Times New Roman"/>
          <w:b/>
          <w:bCs/>
          <w:i/>
          <w:iCs/>
        </w:rPr>
      </w:pPr>
      <w:r w:rsidRPr="00F0266A">
        <w:rPr>
          <w:rStyle w:val="a5"/>
          <w:rFonts w:ascii="Times New Roman" w:hAnsi="Times New Roman"/>
          <w:b/>
          <w:bCs/>
          <w:i/>
          <w:iCs/>
        </w:rPr>
        <w:t>Цель:</w:t>
      </w:r>
      <w:r w:rsidR="00F0266A">
        <w:rPr>
          <w:rStyle w:val="a5"/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F0266A">
        <w:rPr>
          <w:rStyle w:val="a5"/>
          <w:rFonts w:ascii="Times New Roman" w:hAnsi="Times New Roman"/>
        </w:rPr>
        <w:t xml:space="preserve">Изучение влияния природных терпенов пихты сибирской на процесс старения клеток, как класс малоизученных биологических веществ, с точки зрения геропротекторной активности. </w:t>
      </w:r>
    </w:p>
    <w:p w14:paraId="64181C49" w14:textId="51A2D771" w:rsidR="00D30367" w:rsidRPr="00F0266A" w:rsidRDefault="00D30367" w:rsidP="00F0266A">
      <w:pPr>
        <w:spacing w:after="240"/>
        <w:jc w:val="both"/>
        <w:rPr>
          <w:rStyle w:val="a5"/>
          <w:rFonts w:ascii="Times New Roman" w:eastAsia="Times New Roman" w:hAnsi="Times New Roman" w:cs="Times New Roman"/>
          <w:b/>
          <w:bCs/>
          <w:i/>
          <w:iCs/>
        </w:rPr>
      </w:pPr>
      <w:r w:rsidRPr="00F0266A">
        <w:rPr>
          <w:rStyle w:val="a5"/>
          <w:rFonts w:ascii="Times New Roman" w:hAnsi="Times New Roman"/>
          <w:b/>
          <w:bCs/>
          <w:i/>
          <w:iCs/>
        </w:rPr>
        <w:t>Актуальность</w:t>
      </w:r>
      <w:r w:rsidR="00D118E1" w:rsidRPr="00F0266A">
        <w:rPr>
          <w:rStyle w:val="a5"/>
          <w:rFonts w:ascii="Times New Roman" w:hAnsi="Times New Roman"/>
          <w:b/>
          <w:bCs/>
          <w:i/>
          <w:iCs/>
        </w:rPr>
        <w:t>:</w:t>
      </w:r>
      <w:r w:rsidR="00D118E1">
        <w:rPr>
          <w:rStyle w:val="a5"/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D118E1">
        <w:rPr>
          <w:rStyle w:val="a5"/>
          <w:rFonts w:ascii="Times New Roman" w:hAnsi="Times New Roman"/>
        </w:rPr>
        <w:t>И</w:t>
      </w:r>
      <w:r w:rsidR="00D118E1" w:rsidRPr="00F0266A">
        <w:rPr>
          <w:rStyle w:val="a5"/>
          <w:rFonts w:ascii="Times New Roman" w:hAnsi="Times New Roman"/>
        </w:rPr>
        <w:t>звестно</w:t>
      </w:r>
      <w:r w:rsidRPr="00F0266A">
        <w:rPr>
          <w:rStyle w:val="a5"/>
          <w:rFonts w:ascii="Times New Roman" w:hAnsi="Times New Roman"/>
        </w:rPr>
        <w:t xml:space="preserve">, что терпеноиды, самая большая группа вторичных растительных метаболитов, принадлежащая к большому классу органических углеводородов, состоящий из изопреновых звеньев формулы С5Н8 и в зависимости от их количества относятся к моно-, сескви-, ди-, три-, тетра- и политерпеноидам. Являясь одним из самых крупных классов природных </w:t>
      </w:r>
      <w:r w:rsidR="001A5159" w:rsidRPr="00F0266A">
        <w:rPr>
          <w:rStyle w:val="a5"/>
          <w:rFonts w:ascii="Times New Roman" w:hAnsi="Times New Roman"/>
        </w:rPr>
        <w:t>соединений, терпеноиды</w:t>
      </w:r>
      <w:r w:rsidRPr="00F0266A">
        <w:rPr>
          <w:rStyle w:val="a5"/>
          <w:rFonts w:ascii="Times New Roman" w:hAnsi="Times New Roman"/>
        </w:rPr>
        <w:t xml:space="preserve"> представляют собой недооцененный источник потенциальных геропротекторов, которые могут эффективно влиять на механизмы старения и возрастные заболевания [1]</w:t>
      </w:r>
    </w:p>
    <w:p w14:paraId="0C020A71" w14:textId="77777777" w:rsidR="00D30367" w:rsidRPr="00F0266A" w:rsidRDefault="00D30367" w:rsidP="00F0266A">
      <w:pPr>
        <w:spacing w:after="240"/>
        <w:jc w:val="both"/>
        <w:rPr>
          <w:rStyle w:val="a5"/>
          <w:rFonts w:ascii="Times New Roman" w:eastAsia="Times New Roman" w:hAnsi="Times New Roman" w:cs="Times New Roman"/>
        </w:rPr>
      </w:pPr>
      <w:r w:rsidRPr="00F0266A">
        <w:rPr>
          <w:rStyle w:val="a5"/>
          <w:rFonts w:ascii="Times New Roman" w:hAnsi="Times New Roman"/>
        </w:rPr>
        <w:t>Выявлено большое разнообразие терапевтических свойств – противоопухолевых, антимикробных, противопаразитарных, спазмолитических, противовоспалительных, иммуномодулирующих, антиаллергических, характерных для представителей этого класса веществ.</w:t>
      </w:r>
      <w:r w:rsidR="001A5159" w:rsidRPr="00F0266A">
        <w:rPr>
          <w:rStyle w:val="a5"/>
          <w:rFonts w:ascii="Times New Roman" w:hAnsi="Times New Roman"/>
        </w:rPr>
        <w:t xml:space="preserve"> </w:t>
      </w:r>
      <w:r w:rsidRPr="00F0266A">
        <w:rPr>
          <w:rStyle w:val="a5"/>
          <w:rFonts w:ascii="Times New Roman" w:hAnsi="Times New Roman"/>
        </w:rPr>
        <w:t>Одним из источников получения терпеноидов являются хвойные породы деревьев семейства Pinaceae. Нами на основе природного комплекса терпеноидов пихты сибирской разработаны препараты и БАДы.</w:t>
      </w:r>
    </w:p>
    <w:p w14:paraId="4557566F" w14:textId="77777777" w:rsidR="00D30367" w:rsidRPr="00F0266A" w:rsidRDefault="00D30367" w:rsidP="00F0266A">
      <w:pPr>
        <w:tabs>
          <w:tab w:val="left" w:pos="709"/>
        </w:tabs>
        <w:spacing w:after="240"/>
        <w:jc w:val="both"/>
        <w:rPr>
          <w:rStyle w:val="a5"/>
          <w:rFonts w:ascii="Times New Roman" w:eastAsia="Times New Roman" w:hAnsi="Times New Roman" w:cs="Times New Roman"/>
        </w:rPr>
      </w:pPr>
      <w:r w:rsidRPr="00F0266A">
        <w:rPr>
          <w:rStyle w:val="a5"/>
          <w:rFonts w:ascii="Times New Roman" w:hAnsi="Times New Roman"/>
        </w:rPr>
        <w:t>Терпены пихты сибирской влияют на метаболические пути старения клеток человека и образования в них злокачественных опухолей.</w:t>
      </w:r>
      <w:r w:rsidRPr="00F0266A">
        <w:rPr>
          <w:rStyle w:val="a5"/>
          <w:rFonts w:ascii="Times New Roman" w:hAnsi="Times New Roman"/>
          <w:kern w:val="24"/>
        </w:rPr>
        <w:t xml:space="preserve"> </w:t>
      </w:r>
      <w:r w:rsidRPr="00F0266A">
        <w:rPr>
          <w:rStyle w:val="a5"/>
          <w:rFonts w:ascii="Times New Roman" w:hAnsi="Times New Roman"/>
        </w:rPr>
        <w:t>По результатам транскриптомного исследования в результате действия субстанции Абисил (комплекс природных терпенов пихты сибирской), в старых клетках фибробластов отмечалось восстановление уровня экспрессии некоторых генов, ответственных за продолжительность жизни. В линиях раковых клеток Абисил индуцировал экспрессию и онкосупрессоров (членов генных семейств GADD45, DUSP и DDIT), и протоонкогенов (c-Myc, c-Jun, EGR и других). Таким образом, мы пришли к выводу, что Абисил демонстрирует возможные антивозрастные и противоопухолевые действия в линиях старых и раковых клеток. [2].</w:t>
      </w:r>
    </w:p>
    <w:p w14:paraId="429BC1CE" w14:textId="77777777" w:rsidR="00D30367" w:rsidRPr="00F0266A" w:rsidRDefault="00D30367" w:rsidP="00F0266A">
      <w:pPr>
        <w:tabs>
          <w:tab w:val="left" w:pos="709"/>
        </w:tabs>
        <w:spacing w:after="240"/>
        <w:jc w:val="both"/>
        <w:rPr>
          <w:rStyle w:val="a5"/>
          <w:rFonts w:ascii="Times New Roman" w:hAnsi="Times New Roman"/>
        </w:rPr>
      </w:pPr>
      <w:r w:rsidRPr="00F0266A">
        <w:rPr>
          <w:rStyle w:val="a5"/>
          <w:rFonts w:ascii="Times New Roman" w:eastAsia="Times New Roman" w:hAnsi="Times New Roman" w:cs="Times New Roman"/>
        </w:rPr>
        <w:t>Кроме того</w:t>
      </w:r>
      <w:r w:rsidRPr="00F0266A">
        <w:rPr>
          <w:rStyle w:val="a5"/>
          <w:rFonts w:ascii="Times New Roman" w:hAnsi="Times New Roman"/>
        </w:rPr>
        <w:t>, еще в 2016 году при совместном исследовании наших ученых и ученых Германии было подтверждено, что терпены пихты сибирской влияют на молекулярные пути, связанные с раком и старением в клетках человека; индуцируют апоптоз и ингибируют пролиферацию в опухолевых клетках in vitro, подавляют рост опухоли и ангиогенез in vivo [3]. А исследования, проведенные в 2021 году, показали, что терпеноиды способны запускать процесс саморегуляции и регенерации клеток. Было отмечено, что терпены запускали процесс интенсивной аутофагии в исследуемых клетках человека уже через 24 часа.</w:t>
      </w:r>
      <w:r w:rsidRPr="00F0266A">
        <w:rPr>
          <w:rStyle w:val="a5"/>
          <w:rFonts w:ascii="Times New Roman" w:hAnsi="Times New Roman"/>
          <w:b/>
          <w:bCs/>
        </w:rPr>
        <w:t xml:space="preserve"> </w:t>
      </w:r>
      <w:r w:rsidRPr="00F0266A">
        <w:rPr>
          <w:rStyle w:val="a5"/>
          <w:rFonts w:ascii="Times New Roman" w:hAnsi="Times New Roman"/>
        </w:rPr>
        <w:t xml:space="preserve">Этот механизм является ключевым в решении проблем биологического старения. Наиболее вероятно, Абисил вносит изменение в энергетический метаболизм клеток: в то время как общая интенсивность потребления кислорода была неизменной, гликолитическая активность значительно снижалась. </w:t>
      </w:r>
      <w:r w:rsidR="001A5159" w:rsidRPr="00F0266A">
        <w:rPr>
          <w:rStyle w:val="a5"/>
          <w:rFonts w:ascii="Times New Roman" w:hAnsi="Times New Roman"/>
        </w:rPr>
        <w:t>Э</w:t>
      </w:r>
      <w:r w:rsidRPr="00F0266A">
        <w:rPr>
          <w:rStyle w:val="a5"/>
          <w:rFonts w:ascii="Times New Roman" w:hAnsi="Times New Roman"/>
        </w:rPr>
        <w:t xml:space="preserve">ффект обработки Абисилом распространяется не только на энергетический метаболизм, но также вызывает значительное перепрограммирование транскрипции, охватывающее тысячи генов, участвующих в ключевых клеточных путях: отмечалось, что около 15-20% генов снижают свою экспрессию как на уровне транскриптома, так и протеома [5]. Абисил может способствовать активации пути VEGF (фактора роста эндотелия сосудов), который регулирует развитие сосудов, а также функцию крови и лимфатических сосудов [4]. </w:t>
      </w:r>
      <w:r w:rsidRPr="00F0266A">
        <w:rPr>
          <w:rStyle w:val="a5"/>
          <w:rFonts w:ascii="Times New Roman" w:hAnsi="Times New Roman"/>
        </w:rPr>
        <w:lastRenderedPageBreak/>
        <w:t xml:space="preserve">Абисил также активировал Т- и В-клеточные пути, что потенциально может сдерживать иммунное старение. </w:t>
      </w:r>
    </w:p>
    <w:p w14:paraId="6C66E1BC" w14:textId="77777777" w:rsidR="008B4FAE" w:rsidRPr="00F0266A" w:rsidRDefault="008B4FAE" w:rsidP="00F0266A">
      <w:pPr>
        <w:tabs>
          <w:tab w:val="left" w:pos="709"/>
        </w:tabs>
        <w:spacing w:after="240"/>
        <w:jc w:val="both"/>
        <w:rPr>
          <w:rFonts w:ascii="Times New Roman" w:hAnsi="Times New Roman" w:cs="Times New Roman"/>
        </w:rPr>
      </w:pPr>
      <w:r w:rsidRPr="00F0266A">
        <w:rPr>
          <w:rStyle w:val="a5"/>
          <w:rFonts w:ascii="Times New Roman" w:hAnsi="Times New Roman" w:cs="Times New Roman"/>
        </w:rPr>
        <w:t>Следует отметить</w:t>
      </w:r>
      <w:r w:rsidR="001A5159" w:rsidRPr="00F0266A">
        <w:rPr>
          <w:rStyle w:val="a5"/>
          <w:rFonts w:ascii="Times New Roman" w:hAnsi="Times New Roman" w:cs="Times New Roman"/>
        </w:rPr>
        <w:t xml:space="preserve">, </w:t>
      </w:r>
      <w:r w:rsidRPr="00F0266A">
        <w:rPr>
          <w:rStyle w:val="a5"/>
          <w:rFonts w:ascii="Times New Roman" w:hAnsi="Times New Roman" w:cs="Times New Roman"/>
        </w:rPr>
        <w:t xml:space="preserve">что </w:t>
      </w:r>
      <w:r w:rsidR="001A5159" w:rsidRPr="00F0266A">
        <w:rPr>
          <w:rStyle w:val="a5"/>
          <w:rFonts w:ascii="Times New Roman" w:hAnsi="Times New Roman" w:cs="Times New Roman"/>
        </w:rPr>
        <w:t>опыт клинического применения препаратов на основе комплекса природных терпенов пок</w:t>
      </w:r>
      <w:r w:rsidR="008172B0" w:rsidRPr="00F0266A">
        <w:rPr>
          <w:rStyle w:val="a5"/>
          <w:rFonts w:ascii="Times New Roman" w:hAnsi="Times New Roman" w:cs="Times New Roman"/>
        </w:rPr>
        <w:t>а</w:t>
      </w:r>
      <w:r w:rsidR="001A5159" w:rsidRPr="00F0266A">
        <w:rPr>
          <w:rStyle w:val="a5"/>
          <w:rFonts w:ascii="Times New Roman" w:hAnsi="Times New Roman" w:cs="Times New Roman"/>
        </w:rPr>
        <w:t>зал</w:t>
      </w:r>
      <w:r w:rsidR="008172B0" w:rsidRPr="00F0266A">
        <w:rPr>
          <w:rStyle w:val="a5"/>
          <w:rFonts w:ascii="Times New Roman" w:hAnsi="Times New Roman" w:cs="Times New Roman"/>
        </w:rPr>
        <w:t>, что терпен</w:t>
      </w:r>
      <w:r w:rsidR="00963E72" w:rsidRPr="00F0266A">
        <w:rPr>
          <w:rStyle w:val="a5"/>
          <w:rFonts w:ascii="Times New Roman" w:hAnsi="Times New Roman" w:cs="Times New Roman"/>
        </w:rPr>
        <w:t>оиды</w:t>
      </w:r>
      <w:r w:rsidR="008172B0" w:rsidRPr="00F0266A">
        <w:rPr>
          <w:rStyle w:val="a5"/>
          <w:rFonts w:ascii="Times New Roman" w:hAnsi="Times New Roman" w:cs="Times New Roman"/>
        </w:rPr>
        <w:t xml:space="preserve"> входящие состав БАД «Кардиоорганик» (ООО «Инитиум-Фарм», Россия) в значительной степени способствуют: </w:t>
      </w:r>
      <w:r w:rsidR="008172B0" w:rsidRPr="00F0266A">
        <w:rPr>
          <w:rFonts w:ascii="Times New Roman" w:hAnsi="Times New Roman" w:cs="Times New Roman"/>
        </w:rPr>
        <w:t xml:space="preserve">снижению в крови уровня общих липидов (ОЛ), общего холестерина (ОХ), триглицеридов (ТГ), липопротеидов низкой плотности </w:t>
      </w:r>
      <w:r w:rsidR="00E81C5A" w:rsidRPr="00F0266A">
        <w:rPr>
          <w:rFonts w:ascii="Times New Roman" w:hAnsi="Times New Roman" w:cs="Times New Roman"/>
        </w:rPr>
        <w:t xml:space="preserve">(ЛПНП) и глюкозы. </w:t>
      </w:r>
      <w:r w:rsidR="00963E72" w:rsidRPr="00F0266A">
        <w:rPr>
          <w:rFonts w:ascii="Times New Roman" w:hAnsi="Times New Roman" w:cs="Times New Roman"/>
        </w:rPr>
        <w:t>[6]</w:t>
      </w:r>
      <w:r w:rsidR="008172B0" w:rsidRPr="00F0266A">
        <w:rPr>
          <w:rFonts w:ascii="Times New Roman" w:hAnsi="Times New Roman" w:cs="Times New Roman"/>
        </w:rPr>
        <w:t>.</w:t>
      </w:r>
      <w:r w:rsidR="00963E72" w:rsidRPr="00F0266A">
        <w:rPr>
          <w:rFonts w:ascii="Times New Roman" w:hAnsi="Times New Roman" w:cs="Times New Roman"/>
        </w:rPr>
        <w:t xml:space="preserve"> </w:t>
      </w:r>
      <w:r w:rsidRPr="00F0266A">
        <w:rPr>
          <w:rFonts w:ascii="Times New Roman" w:hAnsi="Times New Roman" w:cs="Times New Roman"/>
        </w:rPr>
        <w:t>По данным первых наблюдений в амбулаторной практике д</w:t>
      </w:r>
      <w:r w:rsidR="00963E72" w:rsidRPr="00F0266A">
        <w:rPr>
          <w:rFonts w:ascii="Times New Roman" w:hAnsi="Times New Roman" w:cs="Times New Roman"/>
        </w:rPr>
        <w:t>инамика показателей липидного обмена на фоне приёма Кардио</w:t>
      </w:r>
      <w:r w:rsidR="00E81C5A" w:rsidRPr="00F0266A">
        <w:rPr>
          <w:rFonts w:ascii="Times New Roman" w:hAnsi="Times New Roman" w:cs="Times New Roman"/>
        </w:rPr>
        <w:t>о</w:t>
      </w:r>
      <w:r w:rsidR="00963E72" w:rsidRPr="00F0266A">
        <w:rPr>
          <w:rFonts w:ascii="Times New Roman" w:hAnsi="Times New Roman" w:cs="Times New Roman"/>
        </w:rPr>
        <w:t>рганика</w:t>
      </w:r>
      <w:r w:rsidR="008777EF" w:rsidRPr="00F0266A">
        <w:rPr>
          <w:rFonts w:ascii="Times New Roman" w:hAnsi="Times New Roman" w:cs="Times New Roman"/>
        </w:rPr>
        <w:t xml:space="preserve"> у пациентов с нарушением липидного обмена и МС</w:t>
      </w:r>
      <w:r w:rsidR="00963E72" w:rsidRPr="00F0266A">
        <w:rPr>
          <w:rFonts w:ascii="Times New Roman" w:hAnsi="Times New Roman" w:cs="Times New Roman"/>
        </w:rPr>
        <w:t xml:space="preserve"> была в пределах нормы:</w:t>
      </w:r>
      <w:r w:rsidR="008777EF" w:rsidRPr="00F0266A">
        <w:rPr>
          <w:rFonts w:ascii="Times New Roman" w:hAnsi="Times New Roman" w:cs="Times New Roman"/>
        </w:rPr>
        <w:t xml:space="preserve"> </w:t>
      </w:r>
      <w:r w:rsidR="00963E72" w:rsidRPr="00F0266A">
        <w:rPr>
          <w:rFonts w:ascii="Times New Roman" w:hAnsi="Times New Roman" w:cs="Times New Roman"/>
        </w:rPr>
        <w:t>показатели общего холестерина (ОХ) у основной группы через 6 месяцев наблюдения снизились в среднем на 6% от исходных денных,</w:t>
      </w:r>
      <w:r w:rsidRPr="00F0266A">
        <w:rPr>
          <w:rFonts w:ascii="Times New Roman" w:hAnsi="Times New Roman" w:cs="Times New Roman"/>
        </w:rPr>
        <w:t xml:space="preserve"> </w:t>
      </w:r>
      <w:r w:rsidR="00963E72" w:rsidRPr="00F0266A">
        <w:rPr>
          <w:rFonts w:ascii="Times New Roman" w:hAnsi="Times New Roman" w:cs="Times New Roman"/>
        </w:rPr>
        <w:t>показатель уровня триглицеридов (ТГ) не опустился ниже референсных значений, липопротеиды низ</w:t>
      </w:r>
      <w:r w:rsidR="00E81C5A" w:rsidRPr="00F0266A">
        <w:rPr>
          <w:rFonts w:ascii="Times New Roman" w:hAnsi="Times New Roman" w:cs="Times New Roman"/>
        </w:rPr>
        <w:t xml:space="preserve">кой плотности (ЛПНП) снизились </w:t>
      </w:r>
      <w:r w:rsidR="00963E72" w:rsidRPr="00F0266A">
        <w:rPr>
          <w:rFonts w:ascii="Times New Roman" w:hAnsi="Times New Roman" w:cs="Times New Roman"/>
        </w:rPr>
        <w:t>в среднем на 1,6% от исходных значений, липопротеиды высокой плотности (ЛПВП) повысились в среднем на 4,2 % от исходных данных</w:t>
      </w:r>
      <w:r w:rsidR="00EC57E8" w:rsidRPr="00F0266A">
        <w:rPr>
          <w:rFonts w:ascii="Times New Roman" w:hAnsi="Times New Roman" w:cs="Times New Roman"/>
        </w:rPr>
        <w:t xml:space="preserve"> </w:t>
      </w:r>
      <w:r w:rsidRPr="00F0266A">
        <w:rPr>
          <w:rFonts w:ascii="Times New Roman" w:hAnsi="Times New Roman" w:cs="Times New Roman"/>
        </w:rPr>
        <w:t>[7]</w:t>
      </w:r>
      <w:r w:rsidR="00963E72" w:rsidRPr="00F0266A">
        <w:rPr>
          <w:rFonts w:ascii="Times New Roman" w:hAnsi="Times New Roman" w:cs="Times New Roman"/>
        </w:rPr>
        <w:t xml:space="preserve">. </w:t>
      </w:r>
      <w:r w:rsidR="00496B97" w:rsidRPr="00F0266A">
        <w:rPr>
          <w:rFonts w:ascii="Times New Roman" w:hAnsi="Times New Roman" w:cs="Times New Roman"/>
        </w:rPr>
        <w:t>А также</w:t>
      </w:r>
      <w:r w:rsidR="00C8710C" w:rsidRPr="00F0266A">
        <w:rPr>
          <w:rFonts w:ascii="Times New Roman" w:hAnsi="Times New Roman" w:cs="Times New Roman"/>
        </w:rPr>
        <w:t>,</w:t>
      </w:r>
      <w:r w:rsidR="00496B97" w:rsidRPr="00F0266A">
        <w:rPr>
          <w:rFonts w:ascii="Times New Roman" w:hAnsi="Times New Roman" w:cs="Times New Roman"/>
        </w:rPr>
        <w:t xml:space="preserve"> </w:t>
      </w:r>
      <w:r w:rsidR="00C8710C" w:rsidRPr="00F0266A">
        <w:rPr>
          <w:rFonts w:ascii="Times New Roman" w:hAnsi="Times New Roman" w:cs="Times New Roman"/>
        </w:rPr>
        <w:t xml:space="preserve">была подтверждена эффективность </w:t>
      </w:r>
      <w:r w:rsidR="00B24F31" w:rsidRPr="00F0266A">
        <w:rPr>
          <w:rFonts w:ascii="Times New Roman" w:hAnsi="Times New Roman" w:cs="Times New Roman"/>
        </w:rPr>
        <w:t>нового продукта БАД «Витатерпен Актив»</w:t>
      </w:r>
      <w:r w:rsidR="00E81C5A" w:rsidRPr="00F0266A">
        <w:rPr>
          <w:rFonts w:ascii="Times New Roman" w:hAnsi="Times New Roman" w:cs="Times New Roman"/>
        </w:rPr>
        <w:t xml:space="preserve"> (ООО «Инити</w:t>
      </w:r>
      <w:r w:rsidR="00EC57E8" w:rsidRPr="00F0266A">
        <w:rPr>
          <w:rFonts w:ascii="Times New Roman" w:hAnsi="Times New Roman" w:cs="Times New Roman"/>
        </w:rPr>
        <w:t>у</w:t>
      </w:r>
      <w:r w:rsidR="00E81C5A" w:rsidRPr="00F0266A">
        <w:rPr>
          <w:rFonts w:ascii="Times New Roman" w:hAnsi="Times New Roman" w:cs="Times New Roman"/>
        </w:rPr>
        <w:t>м-Фарм», Россия)</w:t>
      </w:r>
      <w:r w:rsidR="00B24F31" w:rsidRPr="00F0266A">
        <w:rPr>
          <w:rFonts w:ascii="Times New Roman" w:hAnsi="Times New Roman" w:cs="Times New Roman"/>
        </w:rPr>
        <w:t xml:space="preserve"> </w:t>
      </w:r>
      <w:r w:rsidR="00C8710C" w:rsidRPr="00F0266A">
        <w:rPr>
          <w:rFonts w:ascii="Times New Roman" w:hAnsi="Times New Roman" w:cs="Times New Roman"/>
        </w:rPr>
        <w:t xml:space="preserve">в терапии пациентов с </w:t>
      </w:r>
      <w:r w:rsidR="00B24F31" w:rsidRPr="00F0266A">
        <w:rPr>
          <w:rFonts w:ascii="Times New Roman" w:hAnsi="Times New Roman" w:cs="Times New Roman"/>
          <w:bCs/>
        </w:rPr>
        <w:t xml:space="preserve">хроническим алкогольным гепатозом </w:t>
      </w:r>
      <w:r w:rsidR="00E81C5A" w:rsidRPr="00F0266A">
        <w:rPr>
          <w:rFonts w:ascii="Times New Roman" w:hAnsi="Times New Roman" w:cs="Times New Roman"/>
          <w:bCs/>
        </w:rPr>
        <w:t>(</w:t>
      </w:r>
      <w:r w:rsidR="00C8710C" w:rsidRPr="00F0266A">
        <w:rPr>
          <w:rFonts w:ascii="Times New Roman" w:hAnsi="Times New Roman" w:cs="Times New Roman"/>
        </w:rPr>
        <w:t>ХАГ</w:t>
      </w:r>
      <w:r w:rsidR="00E81C5A" w:rsidRPr="00F0266A">
        <w:rPr>
          <w:rFonts w:ascii="Times New Roman" w:hAnsi="Times New Roman" w:cs="Times New Roman"/>
        </w:rPr>
        <w:t>)</w:t>
      </w:r>
      <w:r w:rsidR="00C8710C" w:rsidRPr="00F0266A">
        <w:rPr>
          <w:rFonts w:ascii="Times New Roman" w:hAnsi="Times New Roman" w:cs="Times New Roman"/>
        </w:rPr>
        <w:t xml:space="preserve"> и синдрома холестаза.</w:t>
      </w:r>
      <w:r w:rsidR="00B24F31" w:rsidRPr="00F0266A">
        <w:rPr>
          <w:rFonts w:ascii="Times New Roman" w:hAnsi="Times New Roman" w:cs="Times New Roman"/>
        </w:rPr>
        <w:t xml:space="preserve"> Б</w:t>
      </w:r>
      <w:r w:rsidR="00C8710C" w:rsidRPr="00F0266A">
        <w:rPr>
          <w:rFonts w:ascii="Times New Roman" w:hAnsi="Times New Roman" w:cs="Times New Roman"/>
        </w:rPr>
        <w:t>ыло отмечено</w:t>
      </w:r>
      <w:r w:rsidR="00B24F31" w:rsidRPr="00F0266A">
        <w:rPr>
          <w:rFonts w:ascii="Times New Roman" w:hAnsi="Times New Roman" w:cs="Times New Roman"/>
        </w:rPr>
        <w:t>, что п</w:t>
      </w:r>
      <w:r w:rsidR="00496B97" w:rsidRPr="00F0266A">
        <w:rPr>
          <w:rFonts w:ascii="Times New Roman" w:hAnsi="Times New Roman" w:cs="Times New Roman"/>
        </w:rPr>
        <w:t>осле месячного курса приема «Витатерпена Актив®» по схеме 3 капсулы в день отмечалось достоверное снижение</w:t>
      </w:r>
      <w:r w:rsidR="00B24F31" w:rsidRPr="00F0266A">
        <w:rPr>
          <w:rFonts w:ascii="Times New Roman" w:hAnsi="Times New Roman" w:cs="Times New Roman"/>
        </w:rPr>
        <w:t xml:space="preserve"> </w:t>
      </w:r>
      <w:r w:rsidR="00496B97" w:rsidRPr="00F0266A">
        <w:rPr>
          <w:rFonts w:ascii="Times New Roman" w:hAnsi="Times New Roman" w:cs="Times New Roman"/>
          <w:bCs/>
        </w:rPr>
        <w:t>показателей цитолиза (АЛТ, АСТ) и холестаза у 90% больных;</w:t>
      </w:r>
      <w:r w:rsidR="00B24F31" w:rsidRPr="00F0266A">
        <w:rPr>
          <w:rFonts w:ascii="Times New Roman" w:hAnsi="Times New Roman" w:cs="Times New Roman"/>
          <w:bCs/>
        </w:rPr>
        <w:t xml:space="preserve"> </w:t>
      </w:r>
      <w:r w:rsidR="00496B97" w:rsidRPr="00F0266A">
        <w:rPr>
          <w:rFonts w:ascii="Times New Roman" w:hAnsi="Times New Roman" w:cs="Times New Roman"/>
          <w:bCs/>
        </w:rPr>
        <w:t>снижение индекса фиброза печени у 50%;</w:t>
      </w:r>
      <w:r w:rsidR="00B24F31" w:rsidRPr="00F0266A">
        <w:rPr>
          <w:rFonts w:ascii="Times New Roman" w:hAnsi="Times New Roman" w:cs="Times New Roman"/>
          <w:bCs/>
        </w:rPr>
        <w:t xml:space="preserve"> </w:t>
      </w:r>
      <w:r w:rsidR="00496B97" w:rsidRPr="00F0266A">
        <w:rPr>
          <w:rFonts w:ascii="Times New Roman" w:hAnsi="Times New Roman" w:cs="Times New Roman"/>
          <w:bCs/>
        </w:rPr>
        <w:t>достоверное снижение клинических проявлений ХАГ у 35 % пациентов</w:t>
      </w:r>
      <w:r w:rsidR="005F4EA3" w:rsidRPr="00F0266A">
        <w:rPr>
          <w:rFonts w:ascii="Times New Roman" w:hAnsi="Times New Roman" w:cs="Times New Roman"/>
          <w:bCs/>
        </w:rPr>
        <w:t xml:space="preserve"> </w:t>
      </w:r>
      <w:r w:rsidR="00B24F31" w:rsidRPr="00F0266A">
        <w:rPr>
          <w:rFonts w:ascii="Times New Roman" w:hAnsi="Times New Roman" w:cs="Times New Roman"/>
        </w:rPr>
        <w:t>[8]</w:t>
      </w:r>
      <w:r w:rsidR="00E81C5A" w:rsidRPr="00F0266A">
        <w:rPr>
          <w:rFonts w:ascii="Times New Roman" w:hAnsi="Times New Roman" w:cs="Times New Roman"/>
        </w:rPr>
        <w:t xml:space="preserve">. </w:t>
      </w:r>
      <w:r w:rsidR="00B53155" w:rsidRPr="00F0266A">
        <w:rPr>
          <w:rFonts w:ascii="Times New Roman" w:hAnsi="Times New Roman" w:cs="Times New Roman"/>
        </w:rPr>
        <w:t xml:space="preserve">Препарат хорошо переносился пациентами, </w:t>
      </w:r>
      <w:r w:rsidR="00E81C5A" w:rsidRPr="00F0266A">
        <w:rPr>
          <w:rFonts w:ascii="Times New Roman" w:hAnsi="Times New Roman" w:cs="Times New Roman"/>
        </w:rPr>
        <w:t>не</w:t>
      </w:r>
      <w:r w:rsidR="00496B97" w:rsidRPr="00F0266A">
        <w:rPr>
          <w:rFonts w:ascii="Times New Roman" w:hAnsi="Times New Roman" w:cs="Times New Roman"/>
        </w:rPr>
        <w:t xml:space="preserve"> были обнаружены побочные эффекты, </w:t>
      </w:r>
    </w:p>
    <w:p w14:paraId="05AEA32E" w14:textId="10E02B8F" w:rsidR="00D30367" w:rsidRPr="007A5A20" w:rsidRDefault="00D30367" w:rsidP="00F0266A">
      <w:pPr>
        <w:tabs>
          <w:tab w:val="left" w:pos="5745"/>
        </w:tabs>
        <w:spacing w:after="240"/>
        <w:jc w:val="both"/>
        <w:rPr>
          <w:rStyle w:val="a5"/>
          <w:rFonts w:ascii="Times New Roman" w:hAnsi="Times New Roman"/>
        </w:rPr>
      </w:pPr>
      <w:r w:rsidRPr="00F0266A">
        <w:rPr>
          <w:rStyle w:val="a5"/>
          <w:rFonts w:ascii="Times New Roman" w:hAnsi="Times New Roman"/>
          <w:b/>
          <w:bCs/>
          <w:i/>
          <w:iCs/>
        </w:rPr>
        <w:t>Вывод:</w:t>
      </w:r>
      <w:r w:rsidR="00F0266A">
        <w:rPr>
          <w:rStyle w:val="a5"/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F0266A">
        <w:rPr>
          <w:rStyle w:val="a5"/>
          <w:rFonts w:ascii="Times New Roman" w:hAnsi="Times New Roman"/>
        </w:rPr>
        <w:t>По итогам наблюдений мы пришли к выводу, что природные терпены пихты сибирской, входящие в состав субстанции Абисил обладают большим потенциалом в качестве антифиброзного, антиметаболического препарата и иммуномодулирующего средства, оказывающего воздействие на многие мишени и клеточные пути. Благодаря антиоксидантным и противовоспалительным свойствам терпеноиды замедляют развитие возрастных изменений, снижают уровень повреждения белков и ДНК, улучшают обмен жиров и углеводов, и являются перспективными природными геропотекторами, решающие проблемы старения. К тому же выпускаемые продукты соответствуют главным критериям геропротекторов: улучшени</w:t>
      </w:r>
      <w:r w:rsidR="00EC57E8" w:rsidRPr="00F0266A">
        <w:rPr>
          <w:rStyle w:val="a5"/>
          <w:rFonts w:ascii="Times New Roman" w:hAnsi="Times New Roman"/>
        </w:rPr>
        <w:t>е</w:t>
      </w:r>
      <w:r w:rsidRPr="00F0266A">
        <w:rPr>
          <w:rStyle w:val="a5"/>
          <w:rFonts w:ascii="Times New Roman" w:hAnsi="Times New Roman"/>
        </w:rPr>
        <w:t xml:space="preserve"> </w:t>
      </w:r>
      <w:r w:rsidR="001A5159" w:rsidRPr="00F0266A">
        <w:rPr>
          <w:rStyle w:val="a5"/>
          <w:rFonts w:ascii="Times New Roman" w:hAnsi="Times New Roman"/>
        </w:rPr>
        <w:t>параметров биомаркеров старения;</w:t>
      </w:r>
      <w:r w:rsidRPr="00F0266A">
        <w:rPr>
          <w:rStyle w:val="a5"/>
          <w:rFonts w:ascii="Times New Roman" w:hAnsi="Times New Roman"/>
        </w:rPr>
        <w:t xml:space="preserve"> низк</w:t>
      </w:r>
      <w:r w:rsidR="00EC57E8" w:rsidRPr="00F0266A">
        <w:rPr>
          <w:rStyle w:val="a5"/>
          <w:rFonts w:ascii="Times New Roman" w:hAnsi="Times New Roman"/>
        </w:rPr>
        <w:t>ая</w:t>
      </w:r>
      <w:r w:rsidRPr="00F0266A">
        <w:rPr>
          <w:rStyle w:val="a5"/>
          <w:rFonts w:ascii="Times New Roman" w:hAnsi="Times New Roman"/>
        </w:rPr>
        <w:t xml:space="preserve"> токсичност</w:t>
      </w:r>
      <w:r w:rsidR="00EC57E8" w:rsidRPr="00F0266A">
        <w:rPr>
          <w:rStyle w:val="a5"/>
          <w:rFonts w:ascii="Times New Roman" w:hAnsi="Times New Roman"/>
        </w:rPr>
        <w:t>ь</w:t>
      </w:r>
      <w:r w:rsidR="001A5159" w:rsidRPr="00F0266A">
        <w:rPr>
          <w:rStyle w:val="a5"/>
          <w:rFonts w:ascii="Times New Roman" w:hAnsi="Times New Roman"/>
        </w:rPr>
        <w:t xml:space="preserve">; </w:t>
      </w:r>
      <w:r w:rsidRPr="00F0266A">
        <w:rPr>
          <w:rStyle w:val="a5"/>
          <w:rFonts w:ascii="Times New Roman" w:hAnsi="Times New Roman"/>
        </w:rPr>
        <w:t>минимальные побочные эффекты и улучшени</w:t>
      </w:r>
      <w:r w:rsidR="00EC57E8" w:rsidRPr="00F0266A">
        <w:rPr>
          <w:rStyle w:val="a5"/>
          <w:rFonts w:ascii="Times New Roman" w:hAnsi="Times New Roman"/>
        </w:rPr>
        <w:t>е</w:t>
      </w:r>
      <w:r w:rsidRPr="00F0266A">
        <w:rPr>
          <w:rStyle w:val="a5"/>
          <w:rFonts w:ascii="Times New Roman" w:hAnsi="Times New Roman"/>
        </w:rPr>
        <w:t xml:space="preserve"> качества жизни; устойчивост</w:t>
      </w:r>
      <w:r w:rsidR="00EC57E8" w:rsidRPr="00F0266A">
        <w:rPr>
          <w:rStyle w:val="a5"/>
          <w:rFonts w:ascii="Times New Roman" w:hAnsi="Times New Roman"/>
        </w:rPr>
        <w:t>ь</w:t>
      </w:r>
      <w:r w:rsidRPr="00F0266A">
        <w:rPr>
          <w:rStyle w:val="a5"/>
          <w:rFonts w:ascii="Times New Roman" w:hAnsi="Times New Roman"/>
        </w:rPr>
        <w:t xml:space="preserve"> организма к неблагоприятным факторам окружающей среды.</w:t>
      </w:r>
      <w:r w:rsidR="00B24F31" w:rsidRPr="00F0266A">
        <w:rPr>
          <w:rStyle w:val="a5"/>
          <w:rFonts w:ascii="Times New Roman" w:hAnsi="Times New Roman"/>
        </w:rPr>
        <w:t xml:space="preserve"> </w:t>
      </w:r>
    </w:p>
    <w:p w14:paraId="17B6E07F" w14:textId="77777777" w:rsidR="00D30367" w:rsidRPr="007A5A20" w:rsidRDefault="00D30367" w:rsidP="00F0266A">
      <w:pPr>
        <w:spacing w:after="240"/>
        <w:jc w:val="both"/>
        <w:rPr>
          <w:rStyle w:val="a5"/>
          <w:rFonts w:ascii="Times New Roman" w:eastAsia="Times New Roman" w:hAnsi="Times New Roman" w:cs="Times New Roman"/>
          <w:b/>
          <w:bCs/>
        </w:rPr>
      </w:pPr>
      <w:r w:rsidRPr="007A5A20">
        <w:rPr>
          <w:rStyle w:val="a5"/>
          <w:rFonts w:ascii="Times New Roman" w:hAnsi="Times New Roman"/>
          <w:b/>
          <w:bCs/>
        </w:rPr>
        <w:t>Список литературы</w:t>
      </w:r>
      <w:r w:rsidRPr="007A5A20">
        <w:rPr>
          <w:rStyle w:val="a5"/>
          <w:rFonts w:ascii="Times New Roman" w:hAnsi="Times New Roman"/>
          <w:b/>
          <w:bCs/>
          <w:lang w:val="en-US"/>
        </w:rPr>
        <w:t>:</w:t>
      </w:r>
    </w:p>
    <w:p w14:paraId="5DCF383C" w14:textId="77777777" w:rsidR="00D30367" w:rsidRPr="00F0266A" w:rsidRDefault="00D30367" w:rsidP="00D118E1">
      <w:pPr>
        <w:pStyle w:val="1"/>
        <w:numPr>
          <w:ilvl w:val="0"/>
          <w:numId w:val="2"/>
        </w:numPr>
        <w:tabs>
          <w:tab w:val="num" w:pos="284"/>
        </w:tabs>
        <w:spacing w:after="240"/>
        <w:ind w:left="284" w:hanging="284"/>
        <w:jc w:val="both"/>
        <w:rPr>
          <w:rFonts w:ascii="Times New Roman" w:hAnsi="Times New Roman"/>
        </w:rPr>
      </w:pPr>
      <w:r w:rsidRPr="00F0266A">
        <w:rPr>
          <w:rStyle w:val="a5"/>
          <w:rFonts w:ascii="Times New Roman" w:hAnsi="Times New Roman"/>
          <w:lang w:val="en-US"/>
        </w:rPr>
        <w:t xml:space="preserve">Proshkina </w:t>
      </w:r>
      <w:r w:rsidRPr="00F0266A">
        <w:rPr>
          <w:rStyle w:val="a5"/>
          <w:rFonts w:ascii="Times New Roman" w:hAnsi="Times New Roman"/>
        </w:rPr>
        <w:t>Е</w:t>
      </w:r>
      <w:r w:rsidRPr="00F0266A">
        <w:rPr>
          <w:rStyle w:val="a5"/>
          <w:rFonts w:ascii="Times New Roman" w:hAnsi="Times New Roman"/>
          <w:lang w:val="en-US"/>
        </w:rPr>
        <w:t xml:space="preserve">.; Plyusnin </w:t>
      </w:r>
      <w:r w:rsidRPr="00F0266A">
        <w:rPr>
          <w:rStyle w:val="a5"/>
          <w:rFonts w:ascii="Times New Roman" w:hAnsi="Times New Roman"/>
        </w:rPr>
        <w:t>С</w:t>
      </w:r>
      <w:r w:rsidRPr="00F0266A">
        <w:rPr>
          <w:rStyle w:val="a5"/>
          <w:rFonts w:ascii="Times New Roman" w:hAnsi="Times New Roman"/>
          <w:lang w:val="en-US"/>
        </w:rPr>
        <w:t xml:space="preserve">.; Babak </w:t>
      </w:r>
      <w:r w:rsidRPr="00F0266A">
        <w:rPr>
          <w:rStyle w:val="a5"/>
          <w:rFonts w:ascii="Times New Roman" w:hAnsi="Times New Roman"/>
        </w:rPr>
        <w:t>Т</w:t>
      </w:r>
      <w:r w:rsidRPr="00F0266A">
        <w:rPr>
          <w:rStyle w:val="a5"/>
          <w:rFonts w:ascii="Times New Roman" w:hAnsi="Times New Roman"/>
          <w:lang w:val="en-US"/>
        </w:rPr>
        <w:t xml:space="preserve">.; Lashmanova E.; Maganova F.; Koval L.; Platonova </w:t>
      </w:r>
      <w:r w:rsidRPr="00F0266A">
        <w:rPr>
          <w:rStyle w:val="a5"/>
          <w:rFonts w:ascii="Times New Roman" w:hAnsi="Times New Roman"/>
        </w:rPr>
        <w:t>Е</w:t>
      </w:r>
      <w:r w:rsidRPr="00F0266A">
        <w:rPr>
          <w:rStyle w:val="a5"/>
          <w:rFonts w:ascii="Times New Roman" w:hAnsi="Times New Roman"/>
          <w:lang w:val="en-US"/>
        </w:rPr>
        <w:t xml:space="preserve">.; Shaposhnikov </w:t>
      </w:r>
      <w:r w:rsidRPr="00F0266A">
        <w:rPr>
          <w:rStyle w:val="a5"/>
          <w:rFonts w:ascii="Times New Roman" w:hAnsi="Times New Roman"/>
        </w:rPr>
        <w:t>М</w:t>
      </w:r>
      <w:r w:rsidRPr="00F0266A">
        <w:rPr>
          <w:rStyle w:val="a5"/>
          <w:rFonts w:ascii="Times New Roman" w:hAnsi="Times New Roman"/>
          <w:lang w:val="en-US"/>
        </w:rPr>
        <w:t>.; Moskalev A. Terpenoids as Potential Geroprotectors. </w:t>
      </w:r>
      <w:r w:rsidRPr="00F0266A">
        <w:rPr>
          <w:rStyle w:val="a5"/>
          <w:rFonts w:ascii="Times New Roman" w:hAnsi="Times New Roman"/>
        </w:rPr>
        <w:t>Antioxidants 2020, 9, 529 https://doi.org/10.3390/antiox9060529</w:t>
      </w:r>
    </w:p>
    <w:p w14:paraId="71AD364D" w14:textId="77777777" w:rsidR="00D30367" w:rsidRPr="00F0266A" w:rsidRDefault="00D30367" w:rsidP="00D118E1">
      <w:pPr>
        <w:pStyle w:val="1"/>
        <w:numPr>
          <w:ilvl w:val="0"/>
          <w:numId w:val="2"/>
        </w:numPr>
        <w:tabs>
          <w:tab w:val="num" w:pos="284"/>
        </w:tabs>
        <w:spacing w:after="240"/>
        <w:ind w:left="284" w:hanging="284"/>
        <w:jc w:val="both"/>
        <w:rPr>
          <w:rFonts w:ascii="Times New Roman" w:hAnsi="Times New Roman"/>
        </w:rPr>
      </w:pPr>
      <w:r w:rsidRPr="00F0266A">
        <w:rPr>
          <w:rStyle w:val="a5"/>
          <w:rFonts w:ascii="Times New Roman" w:hAnsi="Times New Roman"/>
          <w:lang w:val="en-US"/>
        </w:rPr>
        <w:t xml:space="preserve">Kudryavtseva A, Krasnov G, Lipatova A, Alekseev B, Maganova F, Shaposhnikov M, Fedorova M, Snezhkina A, Moskalev A. Effects of Abies sibirica terpenes on cancer- and aging-associated pathways in human cells. </w:t>
      </w:r>
      <w:r w:rsidRPr="00F0266A">
        <w:rPr>
          <w:rStyle w:val="a5"/>
          <w:rFonts w:ascii="Times New Roman" w:hAnsi="Times New Roman"/>
        </w:rPr>
        <w:t>Oncotarget. 2016; 7:83744–54. 10.18632/oncotarget.13467 - DOI - PMC - PubMed</w:t>
      </w:r>
    </w:p>
    <w:p w14:paraId="1D092661" w14:textId="77777777" w:rsidR="00D30367" w:rsidRPr="00F0266A" w:rsidRDefault="00D30367" w:rsidP="00D118E1">
      <w:pPr>
        <w:pStyle w:val="1"/>
        <w:numPr>
          <w:ilvl w:val="0"/>
          <w:numId w:val="2"/>
        </w:numPr>
        <w:tabs>
          <w:tab w:val="num" w:pos="284"/>
        </w:tabs>
        <w:spacing w:after="240"/>
        <w:ind w:left="284" w:hanging="284"/>
        <w:jc w:val="both"/>
        <w:rPr>
          <w:rFonts w:ascii="Times New Roman" w:hAnsi="Times New Roman"/>
          <w:lang w:val="en-US"/>
        </w:rPr>
      </w:pPr>
      <w:r w:rsidRPr="00F0266A">
        <w:rPr>
          <w:rStyle w:val="a5"/>
          <w:rFonts w:ascii="Times New Roman" w:hAnsi="Times New Roman"/>
          <w:lang w:val="en-US"/>
        </w:rPr>
        <w:t>Y. A. Nevzorova, J. Grossmann, C. Trautwein. Anti-tumorigenis and anti-angiogenic effects of natural conifer Abies sibirica terpenoids in vivo and in vitro, Biomedicine&amp;Pharmacotherapy 89 (2017) 386-395].</w:t>
      </w:r>
    </w:p>
    <w:p w14:paraId="03121B34" w14:textId="77777777" w:rsidR="00D30367" w:rsidRPr="00F0266A" w:rsidRDefault="00D30367" w:rsidP="00D118E1">
      <w:pPr>
        <w:pStyle w:val="1"/>
        <w:numPr>
          <w:ilvl w:val="0"/>
          <w:numId w:val="2"/>
        </w:numPr>
        <w:tabs>
          <w:tab w:val="num" w:pos="284"/>
        </w:tabs>
        <w:spacing w:after="240"/>
        <w:ind w:left="284" w:hanging="284"/>
        <w:jc w:val="both"/>
        <w:rPr>
          <w:rFonts w:ascii="Times New Roman" w:hAnsi="Times New Roman"/>
          <w:lang w:val="en-US"/>
        </w:rPr>
      </w:pPr>
      <w:r w:rsidRPr="00F0266A">
        <w:rPr>
          <w:rStyle w:val="a5"/>
          <w:rFonts w:ascii="Times New Roman" w:hAnsi="Times New Roman"/>
          <w:lang w:val="en-US"/>
        </w:rPr>
        <w:t>Koch S, Claesson-Welsh L. Signal transduction by vascular endothelial growth factor receptors. Cold Spring Harb Perspect Med. 2012; 2:a006502. https://doi.org/10.1101/cshperspect.a006502 PMID:22762016</w:t>
      </w:r>
    </w:p>
    <w:p w14:paraId="68AA43B3" w14:textId="77777777" w:rsidR="00D30367" w:rsidRPr="00F0266A" w:rsidRDefault="00D30367" w:rsidP="00D118E1">
      <w:pPr>
        <w:pStyle w:val="1"/>
        <w:numPr>
          <w:ilvl w:val="0"/>
          <w:numId w:val="2"/>
        </w:numPr>
        <w:tabs>
          <w:tab w:val="num" w:pos="284"/>
        </w:tabs>
        <w:spacing w:after="240"/>
        <w:ind w:left="284" w:hanging="284"/>
        <w:jc w:val="both"/>
        <w:rPr>
          <w:rStyle w:val="a5"/>
          <w:rFonts w:ascii="Times New Roman" w:hAnsi="Times New Roman"/>
          <w:lang w:val="en-US"/>
        </w:rPr>
      </w:pPr>
      <w:r w:rsidRPr="00F0266A">
        <w:rPr>
          <w:rStyle w:val="a5"/>
          <w:rFonts w:ascii="Times New Roman" w:hAnsi="Times New Roman"/>
          <w:lang w:val="en-US"/>
        </w:rPr>
        <w:lastRenderedPageBreak/>
        <w:t xml:space="preserve">Lipatova A, Krasnov G, Vorobyov P, Melnikov P, Alekseeva O, Vershinina Y, Brzhozovskiy A, Goliusova D, Maganova F, Zakirova N, Kudryavtseva A, Moskalev A “Effects of Siberian fir terpenes extract Abisil on antioxidant activity, autophagy, transcriptome and proteome of human fibroblasts”. </w:t>
      </w:r>
      <w:r w:rsidRPr="00F0266A">
        <w:rPr>
          <w:rStyle w:val="a5"/>
          <w:rFonts w:ascii="Times New Roman" w:hAnsi="Times New Roman"/>
        </w:rPr>
        <w:t>Aging (Albany NY). 2021 Aug 24;13(16):20050-20080. doi: 10.18632/aging.203448. Epub 2021 Aug 24.</w:t>
      </w:r>
      <w:r w:rsidRPr="00F0266A">
        <w:rPr>
          <w:rStyle w:val="a5"/>
          <w:rFonts w:ascii="Times New Roman" w:hAnsi="Times New Roman"/>
          <w:lang w:val="en-US"/>
        </w:rPr>
        <w:t>PMID: 34428743</w:t>
      </w:r>
    </w:p>
    <w:p w14:paraId="66F41181" w14:textId="77777777" w:rsidR="00963E72" w:rsidRPr="00F0266A" w:rsidRDefault="00963E72" w:rsidP="00D118E1">
      <w:pPr>
        <w:pStyle w:val="1"/>
        <w:numPr>
          <w:ilvl w:val="0"/>
          <w:numId w:val="2"/>
        </w:numPr>
        <w:tabs>
          <w:tab w:val="num" w:pos="284"/>
        </w:tabs>
        <w:spacing w:after="240"/>
        <w:ind w:left="284" w:hanging="284"/>
        <w:jc w:val="both"/>
        <w:rPr>
          <w:rFonts w:ascii="Times New Roman" w:hAnsi="Times New Roman"/>
        </w:rPr>
      </w:pPr>
      <w:r w:rsidRPr="00F0266A">
        <w:rPr>
          <w:rFonts w:ascii="Times New Roman" w:hAnsi="Times New Roman"/>
        </w:rPr>
        <w:t>Лацерус Л.А., Пинигин А.Ф., Пинигина Н.М., Маганова Ф.И., Макаров В.Г. Терпеноидное средство для профилактики и лечения атеросклероза и коррекции метаболического синдрома // WO 2013/176564 А1 от 28.11.2013; РСТ/RU2012/00042</w:t>
      </w:r>
    </w:p>
    <w:p w14:paraId="3C506CC9" w14:textId="77777777" w:rsidR="008B4FAE" w:rsidRPr="00F0266A" w:rsidRDefault="008B4FAE" w:rsidP="00D118E1">
      <w:pPr>
        <w:pStyle w:val="1"/>
        <w:numPr>
          <w:ilvl w:val="0"/>
          <w:numId w:val="2"/>
        </w:numPr>
        <w:tabs>
          <w:tab w:val="num" w:pos="284"/>
        </w:tabs>
        <w:spacing w:after="240"/>
        <w:ind w:left="284" w:hanging="284"/>
        <w:jc w:val="both"/>
        <w:rPr>
          <w:rFonts w:ascii="Times New Roman" w:hAnsi="Times New Roman"/>
        </w:rPr>
      </w:pPr>
      <w:r w:rsidRPr="00F0266A">
        <w:rPr>
          <w:rFonts w:ascii="Times New Roman" w:hAnsi="Times New Roman"/>
        </w:rPr>
        <w:t xml:space="preserve">Доскина Е.В., Роль природных терпенов пихты сибирской при коррекции дислипедемии у пациентов с СД2//Материалы научной сессия АНО «Национальная Академия активного долголетия», 2019, г. Москва </w:t>
      </w:r>
    </w:p>
    <w:p w14:paraId="746A3C93" w14:textId="34D593CF" w:rsidR="008B4FAE" w:rsidRPr="00F0266A" w:rsidRDefault="008B4FAE" w:rsidP="00D118E1">
      <w:pPr>
        <w:pStyle w:val="1"/>
        <w:numPr>
          <w:ilvl w:val="0"/>
          <w:numId w:val="2"/>
        </w:numPr>
        <w:tabs>
          <w:tab w:val="num" w:pos="284"/>
        </w:tabs>
        <w:spacing w:after="240"/>
        <w:ind w:left="284" w:hanging="284"/>
        <w:jc w:val="both"/>
        <w:rPr>
          <w:rFonts w:ascii="Times New Roman" w:hAnsi="Times New Roman"/>
        </w:rPr>
      </w:pPr>
      <w:r w:rsidRPr="00F0266A">
        <w:rPr>
          <w:rFonts w:ascii="Times New Roman" w:hAnsi="Times New Roman"/>
        </w:rPr>
        <w:t>*Зверков И.В., Лацерус Л.А. "Перспективные гепатопротекторы природного характера в лечении хронического метаболического стеатогепатита"//Материалы V Междисциплинарной конференции Московского региона "Современные алгоритмы и стандарты лечения в гастроэнтерологии и гепатологии", 8-9 февраля 2022 года, Москва</w:t>
      </w:r>
    </w:p>
    <w:p w14:paraId="2AA2C046" w14:textId="77777777" w:rsidR="00963E72" w:rsidRPr="00963E72" w:rsidRDefault="00963E72" w:rsidP="008B4FAE">
      <w:pPr>
        <w:pStyle w:val="1"/>
        <w:spacing w:after="160" w:line="259" w:lineRule="auto"/>
        <w:jc w:val="both"/>
        <w:rPr>
          <w:rFonts w:ascii="Times New Roman" w:hAnsi="Times New Roman"/>
        </w:rPr>
      </w:pPr>
    </w:p>
    <w:p w14:paraId="40B7146C" w14:textId="77777777" w:rsidR="00D30367" w:rsidRDefault="00D30367">
      <w:pPr>
        <w:pStyle w:val="1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sectPr w:rsidR="00D30367">
      <w:headerReference w:type="default" r:id="rId8"/>
      <w:footerReference w:type="default" r:id="rId9"/>
      <w:pgSz w:w="11900" w:h="16840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43995" w14:textId="77777777" w:rsidR="00D93338" w:rsidRDefault="00D93338">
      <w:r>
        <w:separator/>
      </w:r>
    </w:p>
  </w:endnote>
  <w:endnote w:type="continuationSeparator" w:id="0">
    <w:p w14:paraId="45B1AB17" w14:textId="77777777" w:rsidR="00D93338" w:rsidRDefault="00D9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6D57" w14:textId="77777777" w:rsidR="00D30367" w:rsidRDefault="00D303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84D6D" w14:textId="77777777" w:rsidR="00D93338" w:rsidRDefault="00D93338">
      <w:r>
        <w:separator/>
      </w:r>
    </w:p>
  </w:footnote>
  <w:footnote w:type="continuationSeparator" w:id="0">
    <w:p w14:paraId="0CAC7E8E" w14:textId="77777777" w:rsidR="00D93338" w:rsidRDefault="00D9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4F4C" w14:textId="77777777" w:rsidR="00D30367" w:rsidRDefault="00D303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lvl w:ilvl="0" w:tplc="D5A495AA">
      <w:numFmt w:val="decimal"/>
      <w:lvlText w:val=""/>
      <w:lvlJc w:val="left"/>
    </w:lvl>
    <w:lvl w:ilvl="1" w:tplc="1D60641A">
      <w:numFmt w:val="decimal"/>
      <w:lvlText w:val=""/>
      <w:lvlJc w:val="left"/>
    </w:lvl>
    <w:lvl w:ilvl="2" w:tplc="BA828E4A">
      <w:numFmt w:val="decimal"/>
      <w:lvlText w:val=""/>
      <w:lvlJc w:val="left"/>
    </w:lvl>
    <w:lvl w:ilvl="3" w:tplc="2FD0A180">
      <w:numFmt w:val="decimal"/>
      <w:lvlText w:val=""/>
      <w:lvlJc w:val="left"/>
    </w:lvl>
    <w:lvl w:ilvl="4" w:tplc="27E4D276">
      <w:numFmt w:val="decimal"/>
      <w:lvlText w:val=""/>
      <w:lvlJc w:val="left"/>
    </w:lvl>
    <w:lvl w:ilvl="5" w:tplc="B4EEB2EC">
      <w:numFmt w:val="decimal"/>
      <w:lvlText w:val=""/>
      <w:lvlJc w:val="left"/>
    </w:lvl>
    <w:lvl w:ilvl="6" w:tplc="767E3384">
      <w:numFmt w:val="decimal"/>
      <w:lvlText w:val=""/>
      <w:lvlJc w:val="left"/>
    </w:lvl>
    <w:lvl w:ilvl="7" w:tplc="9CB0BD04">
      <w:numFmt w:val="decimal"/>
      <w:lvlText w:val=""/>
      <w:lvlJc w:val="left"/>
    </w:lvl>
    <w:lvl w:ilvl="8" w:tplc="E898BE28">
      <w:numFmt w:val="decimal"/>
      <w:lvlText w:val=""/>
      <w:lvlJc w:val="left"/>
    </w:lvl>
  </w:abstractNum>
  <w:abstractNum w:abstractNumId="1" w15:restartNumberingAfterBreak="0">
    <w:nsid w:val="01EC6022"/>
    <w:multiLevelType w:val="hybridMultilevel"/>
    <w:tmpl w:val="894EE873"/>
    <w:lvl w:ilvl="0" w:tplc="ECCE61C2">
      <w:numFmt w:val="decimal"/>
      <w:lvlText w:val=""/>
      <w:lvlJc w:val="left"/>
    </w:lvl>
    <w:lvl w:ilvl="1" w:tplc="B5A644D4">
      <w:numFmt w:val="decimal"/>
      <w:lvlText w:val=""/>
      <w:lvlJc w:val="left"/>
    </w:lvl>
    <w:lvl w:ilvl="2" w:tplc="DD4E9B7A">
      <w:numFmt w:val="decimal"/>
      <w:lvlText w:val=""/>
      <w:lvlJc w:val="left"/>
    </w:lvl>
    <w:lvl w:ilvl="3" w:tplc="34D8951C">
      <w:numFmt w:val="decimal"/>
      <w:lvlText w:val=""/>
      <w:lvlJc w:val="left"/>
    </w:lvl>
    <w:lvl w:ilvl="4" w:tplc="E8C42C3A">
      <w:numFmt w:val="decimal"/>
      <w:lvlText w:val=""/>
      <w:lvlJc w:val="left"/>
    </w:lvl>
    <w:lvl w:ilvl="5" w:tplc="1C74F984">
      <w:numFmt w:val="decimal"/>
      <w:lvlText w:val=""/>
      <w:lvlJc w:val="left"/>
    </w:lvl>
    <w:lvl w:ilvl="6" w:tplc="06183F6A">
      <w:numFmt w:val="decimal"/>
      <w:lvlText w:val=""/>
      <w:lvlJc w:val="left"/>
    </w:lvl>
    <w:lvl w:ilvl="7" w:tplc="1ADA6876">
      <w:numFmt w:val="decimal"/>
      <w:lvlText w:val=""/>
      <w:lvlJc w:val="left"/>
    </w:lvl>
    <w:lvl w:ilvl="8" w:tplc="14404686">
      <w:numFmt w:val="decimal"/>
      <w:lvlText w:val=""/>
      <w:lvlJc w:val="left"/>
    </w:lvl>
  </w:abstractNum>
  <w:abstractNum w:abstractNumId="2" w15:restartNumberingAfterBreak="0">
    <w:nsid w:val="20CA2C7E"/>
    <w:multiLevelType w:val="hybridMultilevel"/>
    <w:tmpl w:val="391670FC"/>
    <w:lvl w:ilvl="0" w:tplc="DE24C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D4C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22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0A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A7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20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6B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C0C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81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9613A6"/>
    <w:multiLevelType w:val="hybridMultilevel"/>
    <w:tmpl w:val="05CCCDB6"/>
    <w:lvl w:ilvl="0" w:tplc="44FC0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02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E8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64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C9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69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A8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CB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47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637D66"/>
    <w:multiLevelType w:val="hybridMultilevel"/>
    <w:tmpl w:val="1342181C"/>
    <w:lvl w:ilvl="0" w:tplc="652E3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A5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E5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A3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65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20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40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E2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6C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37431228">
    <w:abstractNumId w:val="0"/>
  </w:num>
  <w:num w:numId="2" w16cid:durableId="681468136">
    <w:abstractNumId w:val="1"/>
  </w:num>
  <w:num w:numId="3" w16cid:durableId="1938101330">
    <w:abstractNumId w:val="2"/>
  </w:num>
  <w:num w:numId="4" w16cid:durableId="1012149110">
    <w:abstractNumId w:val="4"/>
  </w:num>
  <w:num w:numId="5" w16cid:durableId="2118867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 fillcolor="white" strokecolor="#4472c4">
      <v:fill color="white"/>
      <v:stroke color="#4472c4" weight="1pt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59"/>
    <w:rsid w:val="001A5159"/>
    <w:rsid w:val="001F68B3"/>
    <w:rsid w:val="00245F6D"/>
    <w:rsid w:val="003A0324"/>
    <w:rsid w:val="003B2EBA"/>
    <w:rsid w:val="004259F2"/>
    <w:rsid w:val="00496B97"/>
    <w:rsid w:val="005F4EA3"/>
    <w:rsid w:val="006667C8"/>
    <w:rsid w:val="006B7C5C"/>
    <w:rsid w:val="007A5A20"/>
    <w:rsid w:val="008172B0"/>
    <w:rsid w:val="008777EF"/>
    <w:rsid w:val="008B4FAE"/>
    <w:rsid w:val="008F233B"/>
    <w:rsid w:val="00963E72"/>
    <w:rsid w:val="00B24F31"/>
    <w:rsid w:val="00B53155"/>
    <w:rsid w:val="00BE2778"/>
    <w:rsid w:val="00C8710C"/>
    <w:rsid w:val="00D118E1"/>
    <w:rsid w:val="00D30367"/>
    <w:rsid w:val="00D93338"/>
    <w:rsid w:val="00E81C5A"/>
    <w:rsid w:val="00EC57E8"/>
    <w:rsid w:val="00F0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white" strokecolor="#4472c4">
      <v:fill color="white"/>
      <v:stroke color="#4472c4" weight="1pt"/>
      <v:textbox style="mso-column-margin:3pt;mso-fit-shape-to-text:t" inset="3.6pt,,3.6pt"/>
    </o:shapedefaults>
    <o:shapelayout v:ext="edit">
      <o:idmap v:ext="edit" data="2"/>
    </o:shapelayout>
  </w:shapeDefaults>
  <w:doNotEmbedSmartTags/>
  <w:decimalSymbol w:val=","/>
  <w:listSeparator w:val=";"/>
  <w14:docId w14:val="3FD6CA91"/>
  <w15:chartTrackingRefBased/>
  <w15:docId w15:val="{0E1F6FE7-BDE9-4DFB-B082-EECED25A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Calibri" w:eastAsia="Arial Unicode MS" w:hAnsi="Calibri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a5">
    <w:name w:val="Нет"/>
    <w:rPr>
      <w:lang w:val="ru-RU"/>
    </w:rPr>
  </w:style>
  <w:style w:type="paragraph" w:customStyle="1" w:styleId="a6">
    <w:name w:val="По умолчанию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1">
    <w:name w:val="Абзац списка1"/>
    <w:pPr>
      <w:ind w:left="720"/>
    </w:pPr>
    <w:rPr>
      <w:rFonts w:ascii="Calibri" w:eastAsia="Arial Unicode MS" w:hAnsi="Calibri" w:cs="Arial Unicode MS"/>
      <w:color w:val="000000"/>
      <w:sz w:val="24"/>
      <w:szCs w:val="24"/>
      <w:u w:color="000000"/>
    </w:rPr>
  </w:style>
  <w:style w:type="numbering" w:customStyle="1" w:styleId="10">
    <w:name w:val="Импортированный стиль 1"/>
  </w:style>
  <w:style w:type="paragraph" w:customStyle="1" w:styleId="a7">
    <w:name w:val="Обычный (веб)"/>
    <w:basedOn w:val="a"/>
    <w:uiPriority w:val="99"/>
    <w:unhideWhenUsed/>
    <w:locked/>
    <w:rsid w:val="008172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styleId="a8">
    <w:name w:val="Unresolved Mention"/>
    <w:uiPriority w:val="99"/>
    <w:semiHidden/>
    <w:unhideWhenUsed/>
    <w:rsid w:val="00F02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264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70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98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10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814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28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91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17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96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98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maganova@initium-phar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Links>
    <vt:vector size="6" baseType="variant"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mailto:fmaganova@initium-pharm.com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Initium2</dc:creator>
  <cp:keywords/>
  <cp:lastModifiedBy>Людмила Труханова</cp:lastModifiedBy>
  <cp:revision>4</cp:revision>
  <dcterms:created xsi:type="dcterms:W3CDTF">2022-08-14T18:28:00Z</dcterms:created>
  <dcterms:modified xsi:type="dcterms:W3CDTF">2022-09-11T16:27:00Z</dcterms:modified>
</cp:coreProperties>
</file>