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CEE6E9" w:rsidR="00FC2A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  <w:r w:rsidRPr="00241566">
        <w:rPr>
          <w:rFonts w:ascii="Times New Roman" w:eastAsia="Times New Roman" w:hAnsi="Times New Roman" w:cs="Times New Roman"/>
          <w:bCs/>
        </w:rPr>
        <w:t>РЕЗУЛЬТАТЫ ПЕРВОГО КЛИНИЧЕСКОГО ИССЛЕДОВАНИЯ ГЕРОПРОТЕКТОРНОГО ПРЕПАРАТА НА БИОЛОГИЧЕСКИЙ ВОЗРАСТ ЧЕЛОВЕКА</w:t>
      </w:r>
    </w:p>
    <w:p w14:paraId="587D5FAB" w14:textId="77777777" w:rsidR="00F85856" w:rsidRPr="00241566" w:rsidRDefault="00F8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</w:p>
    <w:p w14:paraId="00000002" w14:textId="53BB0FBF" w:rsidR="00FC2A52" w:rsidRPr="00F8585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Маганова Ф</w:t>
      </w:r>
      <w:r w:rsidR="00F8585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r w:rsidR="00F8585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генеральный директор,</w:t>
      </w:r>
      <w:r w:rsidRPr="00F85856">
        <w:rPr>
          <w:rFonts w:ascii="Times New Roman" w:eastAsia="Times New Roman" w:hAnsi="Times New Roman" w:cs="Times New Roman"/>
        </w:rPr>
        <w:t xml:space="preserve"> </w:t>
      </w:r>
      <w:r w:rsidRPr="00F85856">
        <w:rPr>
          <w:rFonts w:ascii="Times New Roman" w:eastAsia="Times New Roman" w:hAnsi="Times New Roman" w:cs="Times New Roman"/>
          <w:lang w:val="en-US"/>
        </w:rPr>
        <w:t>e</w:t>
      </w:r>
      <w:r w:rsidRPr="00F85856">
        <w:rPr>
          <w:rFonts w:ascii="Times New Roman" w:eastAsia="Times New Roman" w:hAnsi="Times New Roman" w:cs="Times New Roman"/>
        </w:rPr>
        <w:t>-</w:t>
      </w:r>
      <w:r w:rsidRPr="00F85856">
        <w:rPr>
          <w:rFonts w:ascii="Times New Roman" w:eastAsia="Times New Roman" w:hAnsi="Times New Roman" w:cs="Times New Roman"/>
          <w:lang w:val="en-US"/>
        </w:rPr>
        <w:t>mail</w:t>
      </w:r>
      <w:r w:rsidRPr="00F85856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="00F85856" w:rsidRPr="009041D6">
          <w:rPr>
            <w:rStyle w:val="a4"/>
            <w:rFonts w:ascii="Times New Roman" w:eastAsia="Times New Roman" w:hAnsi="Times New Roman" w:cs="Times New Roman"/>
            <w:lang w:val="en-US"/>
          </w:rPr>
          <w:t>fmaganova</w:t>
        </w:r>
        <w:r w:rsidR="00F85856" w:rsidRPr="00F85856">
          <w:rPr>
            <w:rStyle w:val="a4"/>
            <w:rFonts w:ascii="Times New Roman" w:eastAsia="Times New Roman" w:hAnsi="Times New Roman" w:cs="Times New Roman"/>
          </w:rPr>
          <w:t>@</w:t>
        </w:r>
        <w:r w:rsidR="00F85856" w:rsidRPr="009041D6">
          <w:rPr>
            <w:rStyle w:val="a4"/>
            <w:rFonts w:ascii="Times New Roman" w:eastAsia="Times New Roman" w:hAnsi="Times New Roman" w:cs="Times New Roman"/>
            <w:lang w:val="en-US"/>
          </w:rPr>
          <w:t>initium</w:t>
        </w:r>
        <w:r w:rsidR="00F85856" w:rsidRPr="00F85856">
          <w:rPr>
            <w:rStyle w:val="a4"/>
            <w:rFonts w:ascii="Times New Roman" w:eastAsia="Times New Roman" w:hAnsi="Times New Roman" w:cs="Times New Roman"/>
          </w:rPr>
          <w:t>-</w:t>
        </w:r>
        <w:r w:rsidR="00F85856" w:rsidRPr="009041D6">
          <w:rPr>
            <w:rStyle w:val="a4"/>
            <w:rFonts w:ascii="Times New Roman" w:eastAsia="Times New Roman" w:hAnsi="Times New Roman" w:cs="Times New Roman"/>
            <w:lang w:val="en-US"/>
          </w:rPr>
          <w:t>pharm</w:t>
        </w:r>
        <w:r w:rsidR="00F85856" w:rsidRPr="00F85856">
          <w:rPr>
            <w:rStyle w:val="a4"/>
            <w:rFonts w:ascii="Times New Roman" w:eastAsia="Times New Roman" w:hAnsi="Times New Roman" w:cs="Times New Roman"/>
          </w:rPr>
          <w:t>.</w:t>
        </w:r>
        <w:r w:rsidR="00F85856" w:rsidRPr="009041D6">
          <w:rPr>
            <w:rStyle w:val="a4"/>
            <w:rFonts w:ascii="Times New Roman" w:eastAsia="Times New Roman" w:hAnsi="Times New Roman" w:cs="Times New Roman"/>
            <w:lang w:val="en-US"/>
          </w:rPr>
          <w:t>com</w:t>
        </w:r>
      </w:hyperlink>
    </w:p>
    <w:p w14:paraId="521ED140" w14:textId="77777777" w:rsidR="00F85856" w:rsidRPr="00F85856" w:rsidRDefault="00F8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00000003" w14:textId="56AEF668" w:rsidR="00FC2A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«Инитиум-Фарм»</w:t>
      </w:r>
      <w:r w:rsidR="00F8585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г. Москва</w:t>
      </w:r>
    </w:p>
    <w:p w14:paraId="112FDF75" w14:textId="77777777" w:rsidR="00F85856" w:rsidRDefault="00F85856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BAAE2A4" w14:textId="77777777" w:rsidR="00376B3B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b/>
          <w:i/>
        </w:rPr>
      </w:pPr>
      <w:r w:rsidRPr="00F93ABF">
        <w:rPr>
          <w:rFonts w:ascii="Times New Roman" w:eastAsia="Times New Roman" w:hAnsi="Times New Roman" w:cs="Times New Roman"/>
          <w:b/>
          <w:i/>
        </w:rPr>
        <w:t>Актуальность:</w:t>
      </w:r>
      <w:r w:rsidR="00F93ABF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000007" w14:textId="1635DEA3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eastAsia="Times New Roman" w:hAnsi="Times New Roman" w:cs="Times New Roman"/>
        </w:rPr>
        <w:t>Понятие биологического возраста появилось в результате осознания неравномерности старения. Очевидно, что интенсивность старения связана с наследственностью, экологическими условиями в месте проживания, уровнем медицинского обслуживания и от образа жизни самого человека. Поэтому при одинаковом хронологическом возрасте у разных людей степень износа организма в целом, а также отдельных органов и систем различна. В разной степени выражены и последствия возрастных процессов - нарушения важнейших жизненных функций, сужение диапазона адаптации, развития болезненных состояний и др. Можно считать, что разность между хронологическим и биологическим возрастом отражает интенсивность старения и его разрушительность.</w:t>
      </w:r>
    </w:p>
    <w:p w14:paraId="00000009" w14:textId="5B5F5F73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eastAsia="Times New Roman" w:hAnsi="Times New Roman" w:cs="Times New Roman"/>
        </w:rPr>
        <w:t xml:space="preserve">Сердечно-сосудистое старение характеризуется рядом сложных патофизиологических изменений, затрагивающих как миокард, так и стенки кровеносных сосудов на структурном, клеточном, молекулярном и функциональном уровнях. Старение связано с функциональными изменениями в кровеносных сосудах, в том числе с повышением жесткости артерий, что является основной причиной </w:t>
      </w:r>
      <w:r w:rsidRPr="00F93ABF">
        <w:rPr>
          <w:rFonts w:ascii="Times New Roman" w:hAnsi="Times New Roman" w:cs="Times New Roman"/>
        </w:rPr>
        <w:t>атеросклероза и увеличения риска деменция.</w:t>
      </w:r>
      <w:r w:rsidR="000F077F"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eastAsia="Times New Roman" w:hAnsi="Times New Roman" w:cs="Times New Roman"/>
        </w:rPr>
        <w:t>Более того, недавние публикации показали, что старение артерий коррелирует с хронологическим возрастом лучше, чем сопровождающие изменения биохимических показателей крови</w:t>
      </w:r>
      <w:r w:rsidRPr="00F93ABF">
        <w:rPr>
          <w:rFonts w:ascii="Times New Roman" w:hAnsi="Times New Roman" w:cs="Times New Roman"/>
        </w:rPr>
        <w:t xml:space="preserve">. В свою очередь толщина комплекса </w:t>
      </w:r>
      <w:r w:rsidRPr="00F93ABF">
        <w:rPr>
          <w:rFonts w:ascii="Times New Roman" w:eastAsia="Times New Roman" w:hAnsi="Times New Roman" w:cs="Times New Roman"/>
        </w:rPr>
        <w:t>интима-медиа сонной артерии, ее изменени</w:t>
      </w:r>
      <w:r w:rsidRPr="00F93ABF">
        <w:rPr>
          <w:rFonts w:ascii="Times New Roman" w:hAnsi="Times New Roman" w:cs="Times New Roman"/>
        </w:rPr>
        <w:t>е- ранний маркёр атеросклероза и ишемической болезни сердца</w:t>
      </w:r>
      <w:r w:rsidRPr="00F93ABF">
        <w:rPr>
          <w:rFonts w:ascii="Times New Roman" w:eastAsia="Times New Roman" w:hAnsi="Times New Roman" w:cs="Times New Roman"/>
        </w:rPr>
        <w:t>. Увеличение толщины комплекс</w:t>
      </w:r>
      <w:r w:rsidRPr="00F93ABF">
        <w:rPr>
          <w:rFonts w:ascii="Times New Roman" w:hAnsi="Times New Roman" w:cs="Times New Roman"/>
        </w:rPr>
        <w:t>а интима- медиа на 0,1 мм статистически значимо повышает риск инфаркта миокарда на 15%, а риск инсульта- на 18%.</w:t>
      </w:r>
      <w:r w:rsidR="000F077F" w:rsidRPr="00F93ABF">
        <w:rPr>
          <w:rFonts w:ascii="Times New Roman" w:hAnsi="Times New Roman" w:cs="Times New Roman"/>
        </w:rPr>
        <w:t xml:space="preserve"> </w:t>
      </w:r>
      <w:r w:rsidR="00F93ABF" w:rsidRPr="00F93ABF">
        <w:rPr>
          <w:rFonts w:ascii="Times New Roman" w:hAnsi="Times New Roman" w:cs="Times New Roman"/>
        </w:rPr>
        <w:t>Чем толще</w:t>
      </w:r>
      <w:r w:rsidRPr="00F93ABF">
        <w:rPr>
          <w:rFonts w:ascii="Times New Roman" w:hAnsi="Times New Roman" w:cs="Times New Roman"/>
        </w:rPr>
        <w:t xml:space="preserve"> комплекс интима-медиа, тем выше риск умереть.</w:t>
      </w:r>
    </w:p>
    <w:p w14:paraId="0000000A" w14:textId="77777777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eastAsia="Times New Roman" w:hAnsi="Times New Roman" w:cs="Times New Roman"/>
        </w:rPr>
        <w:t>Известно, что терпеноиды</w:t>
      </w:r>
      <w:r w:rsidRPr="00F93ABF">
        <w:rPr>
          <w:rFonts w:ascii="Times New Roman" w:hAnsi="Times New Roman" w:cs="Times New Roman"/>
        </w:rPr>
        <w:t xml:space="preserve">- </w:t>
      </w:r>
      <w:r w:rsidRPr="00F93ABF">
        <w:rPr>
          <w:rFonts w:ascii="Times New Roman" w:eastAsia="Times New Roman" w:hAnsi="Times New Roman" w:cs="Times New Roman"/>
        </w:rPr>
        <w:t>большо</w:t>
      </w:r>
      <w:r w:rsidRPr="00F93ABF">
        <w:rPr>
          <w:rFonts w:ascii="Times New Roman" w:hAnsi="Times New Roman" w:cs="Times New Roman"/>
        </w:rPr>
        <w:t>й</w:t>
      </w:r>
      <w:r w:rsidRPr="00F93ABF">
        <w:rPr>
          <w:rFonts w:ascii="Times New Roman" w:eastAsia="Times New Roman" w:hAnsi="Times New Roman" w:cs="Times New Roman"/>
        </w:rPr>
        <w:t xml:space="preserve"> класс</w:t>
      </w:r>
      <w:r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eastAsia="Times New Roman" w:hAnsi="Times New Roman" w:cs="Times New Roman"/>
        </w:rPr>
        <w:t>органических углеводородов, состоящий из изопреновых звеньев формулы С5Н8</w:t>
      </w:r>
      <w:r w:rsidRPr="00F93ABF">
        <w:rPr>
          <w:rFonts w:ascii="Times New Roman" w:hAnsi="Times New Roman" w:cs="Times New Roman"/>
        </w:rPr>
        <w:t xml:space="preserve">. </w:t>
      </w:r>
      <w:r w:rsidRPr="00F93ABF">
        <w:rPr>
          <w:rFonts w:ascii="Times New Roman" w:eastAsia="Times New Roman" w:hAnsi="Times New Roman" w:cs="Times New Roman"/>
        </w:rPr>
        <w:t>Являясь одним из самых крупных классов природных соединений, терпеноиды представляют собой недооцененный источник потенциальных геропротекторов, которые могут эффективно влиять на механизмы старения и возрастные заболевания.</w:t>
      </w:r>
    </w:p>
    <w:p w14:paraId="0000000D" w14:textId="77623278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hAnsi="Times New Roman" w:cs="Times New Roman"/>
        </w:rPr>
      </w:pPr>
      <w:r w:rsidRPr="00F93ABF">
        <w:rPr>
          <w:rFonts w:ascii="Times New Roman" w:hAnsi="Times New Roman" w:cs="Times New Roman"/>
        </w:rPr>
        <w:t xml:space="preserve">Полное </w:t>
      </w:r>
      <w:r w:rsidRPr="00F93ABF">
        <w:rPr>
          <w:rFonts w:ascii="Times New Roman" w:eastAsia="Times New Roman" w:hAnsi="Times New Roman" w:cs="Times New Roman"/>
        </w:rPr>
        <w:t xml:space="preserve">транскриптомное исследование действия </w:t>
      </w:r>
      <w:r w:rsidRPr="00F93ABF">
        <w:rPr>
          <w:rFonts w:ascii="Times New Roman" w:hAnsi="Times New Roman" w:cs="Times New Roman"/>
        </w:rPr>
        <w:t>Абисила,</w:t>
      </w:r>
      <w:r w:rsidR="000F077F"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eastAsia="Times New Roman" w:hAnsi="Times New Roman" w:cs="Times New Roman"/>
        </w:rPr>
        <w:t>субстанции на основе терпенов пихты с</w:t>
      </w:r>
      <w:r w:rsidRPr="00F93ABF">
        <w:rPr>
          <w:rFonts w:ascii="Times New Roman" w:hAnsi="Times New Roman" w:cs="Times New Roman"/>
        </w:rPr>
        <w:t xml:space="preserve">ибирской, </w:t>
      </w:r>
      <w:r w:rsidRPr="00F93ABF">
        <w:rPr>
          <w:rFonts w:ascii="Times New Roman" w:eastAsia="Times New Roman" w:hAnsi="Times New Roman" w:cs="Times New Roman"/>
        </w:rPr>
        <w:t>доказа</w:t>
      </w:r>
      <w:r w:rsidRPr="00F93ABF">
        <w:rPr>
          <w:rFonts w:ascii="Times New Roman" w:hAnsi="Times New Roman" w:cs="Times New Roman"/>
        </w:rPr>
        <w:t>ло</w:t>
      </w:r>
      <w:r w:rsidRPr="00F93ABF">
        <w:rPr>
          <w:rFonts w:ascii="Times New Roman" w:eastAsia="Times New Roman" w:hAnsi="Times New Roman" w:cs="Times New Roman"/>
        </w:rPr>
        <w:t>, что терпены пихты сибирской</w:t>
      </w:r>
      <w:r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eastAsia="Times New Roman" w:hAnsi="Times New Roman" w:cs="Times New Roman"/>
        </w:rPr>
        <w:t>влияют на метаболические пути старения клеток человека</w:t>
      </w:r>
      <w:r w:rsidRPr="00F93ABF">
        <w:rPr>
          <w:rFonts w:ascii="Times New Roman" w:hAnsi="Times New Roman" w:cs="Times New Roman"/>
        </w:rPr>
        <w:t>. В нормальных фибробластах терпены индуцируют гены,</w:t>
      </w:r>
      <w:r w:rsidR="000F077F"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hAnsi="Times New Roman" w:cs="Times New Roman"/>
        </w:rPr>
        <w:t xml:space="preserve">отвечающие за реакцию на стресс, регуляцию апоптоза и регенерацию тканей, в </w:t>
      </w:r>
      <w:r w:rsidRPr="00F93ABF">
        <w:rPr>
          <w:rFonts w:ascii="Times New Roman" w:eastAsia="Times New Roman" w:hAnsi="Times New Roman" w:cs="Times New Roman"/>
        </w:rPr>
        <w:t>старых клетках фибробластов отмечалось восстановление уровня экспрессии некоторых генов, ответственных за продолжительность жизни. В линиях раковых клеток комплекс терп</w:t>
      </w:r>
      <w:r w:rsidRPr="00F93ABF">
        <w:rPr>
          <w:rFonts w:ascii="Times New Roman" w:hAnsi="Times New Roman" w:cs="Times New Roman"/>
        </w:rPr>
        <w:t>eнов</w:t>
      </w:r>
      <w:r w:rsidRPr="00F93ABF">
        <w:rPr>
          <w:rFonts w:ascii="Times New Roman" w:eastAsia="Times New Roman" w:hAnsi="Times New Roman" w:cs="Times New Roman"/>
        </w:rPr>
        <w:t xml:space="preserve"> пихты сиби</w:t>
      </w:r>
      <w:r w:rsidRPr="00F93ABF">
        <w:rPr>
          <w:rFonts w:ascii="Times New Roman" w:hAnsi="Times New Roman" w:cs="Times New Roman"/>
        </w:rPr>
        <w:t>рской</w:t>
      </w:r>
      <w:r w:rsidRPr="00F93ABF">
        <w:rPr>
          <w:rFonts w:ascii="Times New Roman" w:eastAsia="Times New Roman" w:hAnsi="Times New Roman" w:cs="Times New Roman"/>
        </w:rPr>
        <w:t xml:space="preserve"> индуцировал экспрессию и онкосупрессоров (членов генных семейств GADD45, DUSP и DDIT), и протоонкогенов (c-Myc, c-Jun, EGR и других). То есть </w:t>
      </w:r>
      <w:r w:rsidRPr="00F93ABF">
        <w:rPr>
          <w:rFonts w:ascii="Times New Roman" w:hAnsi="Times New Roman" w:cs="Times New Roman"/>
        </w:rPr>
        <w:t>комплекс терпенов позволял восстановить уровень экспрессии генов в старых клетках до уровня экспрессии молодых клеток.</w:t>
      </w:r>
      <w:r w:rsidR="00E91A97" w:rsidRPr="00E91A97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hAnsi="Times New Roman" w:cs="Times New Roman"/>
        </w:rPr>
        <w:t>Терпены пихты сибирской индуцируют апоптоз и ингибируют пролиферацию в опухолевых клетках in vitro,</w:t>
      </w:r>
      <w:r w:rsidR="000F077F"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hAnsi="Times New Roman" w:cs="Times New Roman"/>
        </w:rPr>
        <w:t>стимулируют аутофагию и подавляют рост опухоли и ангиогенез in vivo.</w:t>
      </w:r>
    </w:p>
    <w:p w14:paraId="0000000E" w14:textId="4DC02869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hAnsi="Times New Roman" w:cs="Times New Roman"/>
        </w:rPr>
      </w:pPr>
      <w:r w:rsidRPr="00F93ABF">
        <w:rPr>
          <w:rFonts w:ascii="Times New Roman" w:hAnsi="Times New Roman" w:cs="Times New Roman"/>
        </w:rPr>
        <w:lastRenderedPageBreak/>
        <w:t>Последние исследования показали,</w:t>
      </w:r>
      <w:r w:rsidR="000F077F"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hAnsi="Times New Roman" w:cs="Times New Roman"/>
        </w:rPr>
        <w:t>что помощью терпенов запускается процесс саморегуляции и регенерации клеток. Этот механизм является ключевым в решении проблем биологического старения.</w:t>
      </w:r>
    </w:p>
    <w:p w14:paraId="13428411" w14:textId="77777777" w:rsidR="00376B3B" w:rsidRDefault="00000000" w:rsidP="00F85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hAnsi="Times New Roman" w:cs="Times New Roman"/>
          <w:b/>
          <w:i/>
        </w:rPr>
        <w:t>Цель работы</w:t>
      </w:r>
      <w:r w:rsidRPr="00F93ABF">
        <w:rPr>
          <w:rFonts w:ascii="Times New Roman" w:eastAsia="Times New Roman" w:hAnsi="Times New Roman" w:cs="Times New Roman"/>
        </w:rPr>
        <w:t>:</w:t>
      </w:r>
      <w:r w:rsidR="00F93ABF">
        <w:rPr>
          <w:rFonts w:ascii="Times New Roman" w:eastAsia="Times New Roman" w:hAnsi="Times New Roman" w:cs="Times New Roman"/>
        </w:rPr>
        <w:t xml:space="preserve"> </w:t>
      </w:r>
    </w:p>
    <w:p w14:paraId="00000013" w14:textId="55C575BC" w:rsidR="00FC2A52" w:rsidRPr="00F93ABF" w:rsidRDefault="00000000" w:rsidP="00F85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240" w:line="240" w:lineRule="auto"/>
        <w:ind w:left="0" w:hanging="2"/>
        <w:jc w:val="both"/>
        <w:rPr>
          <w:rFonts w:ascii="Times New Roman" w:hAnsi="Times New Roman" w:cs="Times New Roman"/>
        </w:rPr>
      </w:pPr>
      <w:r w:rsidRPr="00F93ABF">
        <w:rPr>
          <w:rFonts w:ascii="Times New Roman" w:hAnsi="Times New Roman" w:cs="Times New Roman"/>
        </w:rPr>
        <w:t>Основной целью исследования было изучение влияния БАД «КардиоОрганик®» на биологический возраст человека, а также на показатели качества жизни и на некоторые показатели крови пациентов.</w:t>
      </w:r>
    </w:p>
    <w:p w14:paraId="6BAB88D6" w14:textId="77777777" w:rsidR="00376B3B" w:rsidRDefault="00000000" w:rsidP="00F85856">
      <w:pPr>
        <w:widowControl w:val="0"/>
        <w:spacing w:after="240" w:line="240" w:lineRule="auto"/>
        <w:ind w:left="0" w:hanging="2"/>
        <w:jc w:val="both"/>
        <w:rPr>
          <w:rFonts w:ascii="Times New Roman" w:hAnsi="Times New Roman" w:cs="Times New Roman"/>
        </w:rPr>
      </w:pPr>
      <w:r w:rsidRPr="00F93ABF">
        <w:rPr>
          <w:rFonts w:ascii="Times New Roman" w:hAnsi="Times New Roman" w:cs="Times New Roman"/>
          <w:b/>
          <w:i/>
        </w:rPr>
        <w:t>Материалы и методы</w:t>
      </w:r>
      <w:r w:rsidRPr="00F93ABF">
        <w:rPr>
          <w:rFonts w:ascii="Times New Roman" w:hAnsi="Times New Roman" w:cs="Times New Roman"/>
        </w:rPr>
        <w:t>:</w:t>
      </w:r>
    </w:p>
    <w:p w14:paraId="00000017" w14:textId="04D25319" w:rsidR="00FC2A52" w:rsidRPr="00F93ABF" w:rsidRDefault="00000000" w:rsidP="00F85856">
      <w:pPr>
        <w:widowControl w:val="0"/>
        <w:spacing w:after="240" w:line="240" w:lineRule="auto"/>
        <w:ind w:left="0" w:hanging="2"/>
        <w:jc w:val="both"/>
        <w:rPr>
          <w:rFonts w:ascii="Times New Roman" w:hAnsi="Times New Roman" w:cs="Times New Roman"/>
        </w:rPr>
      </w:pPr>
      <w:r w:rsidRPr="00F93ABF">
        <w:rPr>
          <w:rFonts w:ascii="Times New Roman" w:hAnsi="Times New Roman" w:cs="Times New Roman"/>
        </w:rPr>
        <w:t>Проспективное рандомизированное сравнительное плацебо контролируемое двойное слепое исследование  проводилось на базе ФГАОУ ВО РНИМУ им. Н.И. Пирогова Минздрава России в двух группах. Исследуемый продукт БАД «КардиоОрганик®» содержит в себе активные вещества, которые можно отнести к группе потенциальных геропротекторов, в т.ч.: ПНЖК Омега-3 (альфа-линоленовая кислота); альфа-Токоферол (витамин Е); монотерпен Лимонен; терпены пихты сибирской.</w:t>
      </w:r>
    </w:p>
    <w:p w14:paraId="00000018" w14:textId="77777777" w:rsidR="00FC2A52" w:rsidRPr="00F93ABF" w:rsidRDefault="00000000" w:rsidP="00F85856">
      <w:pPr>
        <w:widowControl w:val="0"/>
        <w:spacing w:after="240" w:line="240" w:lineRule="auto"/>
        <w:ind w:left="0" w:hanging="2"/>
        <w:jc w:val="both"/>
        <w:rPr>
          <w:rFonts w:ascii="Times New Roman" w:hAnsi="Times New Roman" w:cs="Times New Roman"/>
        </w:rPr>
      </w:pPr>
      <w:r w:rsidRPr="00F93ABF">
        <w:rPr>
          <w:rFonts w:ascii="Times New Roman" w:hAnsi="Times New Roman" w:cs="Times New Roman"/>
        </w:rPr>
        <w:t xml:space="preserve">В исследовании приняли участие 61 рандомизированный пациент в возрасте 40-65 лет: 31 - основная группа и 30- группа контроля. Все пациенты соответствовали критериям для включения в исследование, которые содержали наличие инсулинорезистентности в анамнезе и отсутствие декомпенсированных и острых заболеваний. В ходе наблюдения биологический возраст определяли по данным ультразвуковой доплерографии (УЗДГ) и аппланационной тонометрии (В4/В1), а также по результатам анализа крови (В4). </w:t>
      </w:r>
    </w:p>
    <w:p w14:paraId="319CED1D" w14:textId="77777777" w:rsidR="00376B3B" w:rsidRDefault="00000000" w:rsidP="00F85856">
      <w:pPr>
        <w:widowControl w:val="0"/>
        <w:spacing w:after="240" w:line="240" w:lineRule="auto"/>
        <w:ind w:left="0" w:hanging="2"/>
        <w:jc w:val="both"/>
        <w:rPr>
          <w:rFonts w:ascii="Times New Roman" w:hAnsi="Times New Roman" w:cs="Times New Roman"/>
          <w:b/>
          <w:i/>
        </w:rPr>
      </w:pPr>
      <w:r w:rsidRPr="00F93ABF">
        <w:rPr>
          <w:rFonts w:ascii="Times New Roman" w:hAnsi="Times New Roman" w:cs="Times New Roman"/>
          <w:b/>
          <w:i/>
        </w:rPr>
        <w:t>Результаты</w:t>
      </w:r>
      <w:r w:rsidR="00F93ABF">
        <w:rPr>
          <w:rFonts w:ascii="Times New Roman" w:hAnsi="Times New Roman" w:cs="Times New Roman"/>
          <w:b/>
          <w:i/>
        </w:rPr>
        <w:t xml:space="preserve">: </w:t>
      </w:r>
    </w:p>
    <w:p w14:paraId="0000001D" w14:textId="4C213938" w:rsidR="00FC2A52" w:rsidRPr="00F93ABF" w:rsidRDefault="00000000" w:rsidP="00F85856">
      <w:pPr>
        <w:widowControl w:val="0"/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eastAsia="Times New Roman" w:hAnsi="Times New Roman" w:cs="Times New Roman"/>
        </w:rPr>
        <w:t xml:space="preserve">По данным УЗДГ и аппланационной тонометрии среднее </w:t>
      </w:r>
      <w:r w:rsidRPr="00F93ABF">
        <w:rPr>
          <w:rFonts w:ascii="Times New Roman" w:hAnsi="Times New Roman" w:cs="Times New Roman"/>
        </w:rPr>
        <w:t xml:space="preserve">стандартное отклонение </w:t>
      </w:r>
      <w:r w:rsidRPr="00F93ABF">
        <w:rPr>
          <w:rFonts w:ascii="Times New Roman" w:eastAsia="Times New Roman" w:hAnsi="Times New Roman" w:cs="Times New Roman"/>
        </w:rPr>
        <w:t xml:space="preserve">биологического возраста у пациентов основной группы (исследуемой БАД) на Визите 1 составляло 56,63 ± 6,31 лет, на Визите 4 – 54,23 ± 5,95 лет (p &lt; 0,001 по сравнению с начальным уровнем). В группе контроля (плацебо) средний возраст на Визитах 1 и 4 составил соответственно 55,57 ± 6,57 и 55,70 ± 6,71 лет соответственно (p = 0,849 по сравнению с начальным уровнем). При отдельном анализе результатов УЗДГ и аппланационной тонометрии каротидных артерий определили, что прием исследуемой БАД в отличие от плацебо приводил к Визиту 4 к статистически значимому уменьшению минимального значения толщины комплекса интима-медиа справа или слева с исходных 0,74 ± 0,10 до 0,70 ± 0,09 мм (p &lt; 0,001). В группе плацебо подобных изменений не наблюдали. Максимальный стеноз сонной артерии, справа или слева (STENmax) у пациентов обеих групп статистически значимо на фоне проведенного лечения не изменился. По результатам аппланационной тонометрии выявили, что на фоне приема исследуемой БАД статистически значимо уменьшилась скорость распространения  пульсовой волны с исходных 10,78 ± 2,47 м/с до 9,70 ± 1,51 м/с на Визите 4 (p = 0,006). В группе плацебо </w:t>
      </w:r>
      <w:r w:rsidR="00F93ABF" w:rsidRPr="00F93ABF">
        <w:rPr>
          <w:rFonts w:ascii="Times New Roman" w:eastAsia="Times New Roman" w:hAnsi="Times New Roman" w:cs="Times New Roman"/>
        </w:rPr>
        <w:t>статистически значимых</w:t>
      </w:r>
      <w:r w:rsidRPr="00F93ABF">
        <w:rPr>
          <w:rFonts w:ascii="Times New Roman" w:eastAsia="Times New Roman" w:hAnsi="Times New Roman" w:cs="Times New Roman"/>
        </w:rPr>
        <w:t xml:space="preserve"> изменений не выявили.</w:t>
      </w:r>
    </w:p>
    <w:p w14:paraId="2062AEA2" w14:textId="77777777" w:rsidR="00376B3B" w:rsidRDefault="00000000" w:rsidP="00F85856">
      <w:pPr>
        <w:pBdr>
          <w:top w:val="nil"/>
          <w:left w:val="nil"/>
          <w:bottom w:val="nil"/>
          <w:right w:val="nil"/>
          <w:between w:val="nil"/>
        </w:pBdr>
        <w:tabs>
          <w:tab w:val="left" w:pos="5745"/>
        </w:tabs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  <w:b/>
          <w:i/>
        </w:rPr>
      </w:pPr>
      <w:r w:rsidRPr="00F93ABF">
        <w:rPr>
          <w:rFonts w:ascii="Times New Roman" w:eastAsia="Times New Roman" w:hAnsi="Times New Roman" w:cs="Times New Roman"/>
          <w:b/>
          <w:i/>
        </w:rPr>
        <w:t>Вывод:</w:t>
      </w:r>
      <w:r w:rsidR="00F93ABF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000021" w14:textId="6C414E38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tabs>
          <w:tab w:val="left" w:pos="5745"/>
        </w:tabs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eastAsia="Times New Roman" w:hAnsi="Times New Roman" w:cs="Times New Roman"/>
        </w:rPr>
        <w:t xml:space="preserve">По итогам наблюдения, основываясь </w:t>
      </w:r>
      <w:r w:rsidRPr="00F93ABF">
        <w:rPr>
          <w:rFonts w:ascii="Times New Roman" w:hAnsi="Times New Roman" w:cs="Times New Roman"/>
        </w:rPr>
        <w:t xml:space="preserve">на </w:t>
      </w:r>
      <w:r w:rsidRPr="00F93ABF">
        <w:rPr>
          <w:rFonts w:ascii="Times New Roman" w:eastAsia="Times New Roman" w:hAnsi="Times New Roman" w:cs="Times New Roman"/>
        </w:rPr>
        <w:t>данных инструментального метода обследования (УЗДГ и аппланационной тонометрии) было доказано, что прием исследуемого БАД</w:t>
      </w:r>
      <w:r w:rsidRPr="00F93ABF">
        <w:rPr>
          <w:rFonts w:ascii="Times New Roman" w:hAnsi="Times New Roman" w:cs="Times New Roman"/>
        </w:rPr>
        <w:t xml:space="preserve">а </w:t>
      </w:r>
      <w:r w:rsidRPr="00F93ABF">
        <w:rPr>
          <w:rFonts w:ascii="Times New Roman" w:eastAsia="Times New Roman" w:hAnsi="Times New Roman" w:cs="Times New Roman"/>
        </w:rPr>
        <w:t xml:space="preserve">«КардиоОрганик®» приводит к выраженному положительному эффекту, который выражался в статистически значимом снижении биологического возраста. У принимавших в течение 3 мес. БАД пациентов было выявлено статистически значимое (p </w:t>
      </w:r>
      <w:r w:rsidR="00F93ABF" w:rsidRPr="00F93ABF">
        <w:rPr>
          <w:rFonts w:ascii="Times New Roman" w:eastAsia="Times New Roman" w:hAnsi="Times New Roman" w:cs="Times New Roman"/>
        </w:rPr>
        <w:t>&lt;0,001</w:t>
      </w:r>
      <w:r w:rsidRPr="00F93ABF">
        <w:rPr>
          <w:rFonts w:ascii="Times New Roman" w:eastAsia="Times New Roman" w:hAnsi="Times New Roman" w:cs="Times New Roman"/>
        </w:rPr>
        <w:t xml:space="preserve">) уменьшение минимального значения толщины комплекса интима-медиа справа или слева, что являлось </w:t>
      </w:r>
      <w:r w:rsidRPr="00F93ABF">
        <w:rPr>
          <w:rFonts w:ascii="Times New Roman" w:eastAsia="Times New Roman" w:hAnsi="Times New Roman" w:cs="Times New Roman"/>
        </w:rPr>
        <w:lastRenderedPageBreak/>
        <w:t>проявлением благоприятных изменений в сосудистой стенке, в частности, увеличением просвета каротидных артерий и, соответственно, улучшением кровоснабжения головного мозга.</w:t>
      </w:r>
      <w:r w:rsidRPr="00F93ABF">
        <w:rPr>
          <w:rFonts w:ascii="Times New Roman" w:hAnsi="Times New Roman" w:cs="Times New Roman"/>
        </w:rPr>
        <w:t xml:space="preserve"> Снижение СРПВ позволило увеличить эластичность сосудов.</w:t>
      </w:r>
      <w:r w:rsidR="000F077F" w:rsidRPr="00F93ABF">
        <w:rPr>
          <w:rFonts w:ascii="Times New Roman" w:hAnsi="Times New Roman" w:cs="Times New Roman"/>
        </w:rPr>
        <w:t xml:space="preserve"> </w:t>
      </w:r>
      <w:r w:rsidR="00957B23">
        <w:rPr>
          <w:rFonts w:ascii="Times New Roman" w:hAnsi="Times New Roman" w:cs="Times New Roman"/>
        </w:rPr>
        <w:t>К</w:t>
      </w:r>
      <w:r w:rsidRPr="00F93ABF">
        <w:rPr>
          <w:rFonts w:ascii="Times New Roman" w:eastAsia="Times New Roman" w:hAnsi="Times New Roman" w:cs="Times New Roman"/>
        </w:rPr>
        <w:t>роме того, на фоне приема исследуемой БАД у пациентов отмечалось статистически значимое улучшение балла по шкале «Общее состояние здоровья» по данным опросника SF-36.</w:t>
      </w:r>
    </w:p>
    <w:p w14:paraId="00000022" w14:textId="77777777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eastAsia="Times New Roman" w:hAnsi="Times New Roman" w:cs="Times New Roman"/>
        </w:rPr>
        <w:t>Для БАДа «КардиоОрганик®, как и для любо</w:t>
      </w:r>
      <w:r w:rsidRPr="00F93ABF">
        <w:rPr>
          <w:rFonts w:ascii="Times New Roman" w:hAnsi="Times New Roman" w:cs="Times New Roman"/>
        </w:rPr>
        <w:t xml:space="preserve">го </w:t>
      </w:r>
      <w:r w:rsidRPr="00F93ABF">
        <w:rPr>
          <w:rFonts w:ascii="Times New Roman" w:eastAsia="Times New Roman" w:hAnsi="Times New Roman" w:cs="Times New Roman"/>
        </w:rPr>
        <w:t>БАД</w:t>
      </w:r>
      <w:r w:rsidRPr="00F93ABF">
        <w:rPr>
          <w:rFonts w:ascii="Times New Roman" w:hAnsi="Times New Roman" w:cs="Times New Roman"/>
        </w:rPr>
        <w:t xml:space="preserve">а, </w:t>
      </w:r>
      <w:r w:rsidRPr="00F93ABF">
        <w:rPr>
          <w:rFonts w:ascii="Times New Roman" w:eastAsia="Times New Roman" w:hAnsi="Times New Roman" w:cs="Times New Roman"/>
        </w:rPr>
        <w:t>характерен легкий или умеренный накопительный эффект без выраженного влияния на лабораторные и/или функциональные показатели организма (что в свою очередь хорошо характеризует безопасность БАД). В то же время на фоне приема БАДа Кардиоорганик отмечалось улучшение показателей УЗДГ без существенных лабораторных сдвигов, что в совокупности подтверждает все вышесказанное: исследуем</w:t>
      </w:r>
      <w:r w:rsidRPr="00F93ABF">
        <w:rPr>
          <w:rFonts w:ascii="Times New Roman" w:hAnsi="Times New Roman" w:cs="Times New Roman"/>
        </w:rPr>
        <w:t>ый</w:t>
      </w:r>
      <w:r w:rsidRPr="00F93ABF">
        <w:rPr>
          <w:rFonts w:ascii="Times New Roman" w:eastAsia="Times New Roman" w:hAnsi="Times New Roman" w:cs="Times New Roman"/>
        </w:rPr>
        <w:t xml:space="preserve"> БАД марки «КардиоОрганик®» оказывает легкий накопительный эффект, который выражается в улучшении кровоснабжения головного мозга, что подтверждает ее эффективность, но при этом не влияет на лабораторные показатели, что подтверждает ее безопасность. В ходе наблюден</w:t>
      </w:r>
      <w:r w:rsidRPr="00F93ABF">
        <w:rPr>
          <w:rFonts w:ascii="Times New Roman" w:hAnsi="Times New Roman" w:cs="Times New Roman"/>
        </w:rPr>
        <w:t xml:space="preserve">ия </w:t>
      </w:r>
      <w:r w:rsidRPr="00F93ABF">
        <w:rPr>
          <w:rFonts w:ascii="Times New Roman" w:eastAsia="Times New Roman" w:hAnsi="Times New Roman" w:cs="Times New Roman"/>
        </w:rPr>
        <w:t>не было замечено нежелательных побочных эффектов.</w:t>
      </w:r>
    </w:p>
    <w:p w14:paraId="00000023" w14:textId="1AE3AE06" w:rsidR="00FC2A52" w:rsidRPr="00F93ABF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93ABF">
        <w:rPr>
          <w:rFonts w:ascii="Times New Roman" w:eastAsia="Times New Roman" w:hAnsi="Times New Roman" w:cs="Times New Roman"/>
        </w:rPr>
        <w:t xml:space="preserve">Таким образом, оценивая данные проведенного исследования, можно сделать вывод, </w:t>
      </w:r>
      <w:r w:rsidR="00F93ABF" w:rsidRPr="00F93ABF">
        <w:rPr>
          <w:rFonts w:ascii="Times New Roman" w:eastAsia="Times New Roman" w:hAnsi="Times New Roman" w:cs="Times New Roman"/>
        </w:rPr>
        <w:t>что БАД</w:t>
      </w:r>
      <w:r w:rsidRPr="00F93ABF">
        <w:rPr>
          <w:rFonts w:ascii="Times New Roman" w:hAnsi="Times New Roman" w:cs="Times New Roman"/>
        </w:rPr>
        <w:t xml:space="preserve"> </w:t>
      </w:r>
      <w:r w:rsidRPr="00F93ABF">
        <w:rPr>
          <w:rFonts w:ascii="Times New Roman" w:eastAsia="Times New Roman" w:hAnsi="Times New Roman" w:cs="Times New Roman"/>
        </w:rPr>
        <w:t>«КардиоОрганик®», обладает геропротекторными свойствами</w:t>
      </w:r>
      <w:r w:rsidRPr="00F93ABF">
        <w:rPr>
          <w:rFonts w:ascii="Times New Roman" w:hAnsi="Times New Roman" w:cs="Times New Roman"/>
        </w:rPr>
        <w:t xml:space="preserve"> и </w:t>
      </w:r>
      <w:r w:rsidRPr="00F93ABF">
        <w:rPr>
          <w:rFonts w:ascii="Times New Roman" w:eastAsia="Times New Roman" w:hAnsi="Times New Roman" w:cs="Times New Roman"/>
        </w:rPr>
        <w:t>имеет большие перспективы в снижении биологического возраста</w:t>
      </w:r>
      <w:r w:rsidR="004C3D0F" w:rsidRPr="004C3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3D0F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47227C">
        <w:rPr>
          <w:rFonts w:ascii="Times New Roman" w:eastAsia="Times New Roman" w:hAnsi="Times New Roman" w:cs="Times New Roman"/>
          <w:lang w:eastAsia="ru-RU"/>
        </w:rPr>
        <w:t>профилактике</w:t>
      </w:r>
      <w:r w:rsidR="004C3D0F">
        <w:rPr>
          <w:rFonts w:ascii="Times New Roman" w:eastAsia="Times New Roman" w:hAnsi="Times New Roman" w:cs="Times New Roman"/>
          <w:lang w:eastAsia="ru-RU"/>
        </w:rPr>
        <w:t xml:space="preserve"> возрастных заболеваний сердечно-</w:t>
      </w:r>
      <w:r w:rsidR="0047227C">
        <w:rPr>
          <w:rFonts w:ascii="Times New Roman" w:eastAsia="Times New Roman" w:hAnsi="Times New Roman" w:cs="Times New Roman"/>
          <w:lang w:eastAsia="ru-RU"/>
        </w:rPr>
        <w:t>сосудистой</w:t>
      </w:r>
      <w:r w:rsidR="004C3D0F">
        <w:rPr>
          <w:rFonts w:ascii="Times New Roman" w:eastAsia="Times New Roman" w:hAnsi="Times New Roman" w:cs="Times New Roman"/>
          <w:lang w:eastAsia="ru-RU"/>
        </w:rPr>
        <w:t xml:space="preserve"> си</w:t>
      </w:r>
      <w:r w:rsidR="0047227C">
        <w:rPr>
          <w:rFonts w:ascii="Times New Roman" w:eastAsia="Times New Roman" w:hAnsi="Times New Roman" w:cs="Times New Roman"/>
          <w:lang w:eastAsia="ru-RU"/>
        </w:rPr>
        <w:t>с</w:t>
      </w:r>
      <w:r w:rsidR="004C3D0F">
        <w:rPr>
          <w:rFonts w:ascii="Times New Roman" w:eastAsia="Times New Roman" w:hAnsi="Times New Roman" w:cs="Times New Roman"/>
          <w:lang w:eastAsia="ru-RU"/>
        </w:rPr>
        <w:t>темы</w:t>
      </w:r>
      <w:r w:rsidRPr="00F93ABF">
        <w:rPr>
          <w:rFonts w:ascii="Times New Roman" w:eastAsia="Times New Roman" w:hAnsi="Times New Roman" w:cs="Times New Roman"/>
        </w:rPr>
        <w:t>.</w:t>
      </w:r>
    </w:p>
    <w:p w14:paraId="00000024" w14:textId="77777777" w:rsidR="00FC2A52" w:rsidRPr="00F93ABF" w:rsidRDefault="00FC2A52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Calibri" w:hAnsi="Times New Roman" w:cs="Times New Roman"/>
        </w:rPr>
      </w:pPr>
    </w:p>
    <w:p w14:paraId="00000025" w14:textId="77777777" w:rsidR="00FC2A52" w:rsidRDefault="00000000" w:rsidP="00F858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литературы:</w:t>
      </w:r>
    </w:p>
    <w:p w14:paraId="00000026" w14:textId="77777777" w:rsidR="00FC2A52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Proshkina </w:t>
      </w:r>
      <w:r>
        <w:rPr>
          <w:rFonts w:ascii="Times New Roman" w:eastAsia="Times New Roman" w:hAnsi="Times New Roman" w:cs="Times New Roman"/>
        </w:rPr>
        <w:t>Е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.; Plyusnin </w:t>
      </w:r>
      <w:r>
        <w:rPr>
          <w:rFonts w:ascii="Times New Roman" w:eastAsia="Times New Roman" w:hAnsi="Times New Roman" w:cs="Times New Roman"/>
        </w:rPr>
        <w:t>С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.; Babak </w:t>
      </w:r>
      <w:r>
        <w:rPr>
          <w:rFonts w:ascii="Times New Roman" w:eastAsia="Times New Roman" w:hAnsi="Times New Roman" w:cs="Times New Roman"/>
        </w:rPr>
        <w:t>Т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.; Lashmanova E.; Maganova F.; Koval L.; Platonova </w:t>
      </w:r>
      <w:r>
        <w:rPr>
          <w:rFonts w:ascii="Times New Roman" w:eastAsia="Times New Roman" w:hAnsi="Times New Roman" w:cs="Times New Roman"/>
        </w:rPr>
        <w:t>Е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.; Shaposhnikov </w:t>
      </w:r>
      <w:r>
        <w:rPr>
          <w:rFonts w:ascii="Times New Roman" w:eastAsia="Times New Roman" w:hAnsi="Times New Roman" w:cs="Times New Roman"/>
        </w:rPr>
        <w:t>М</w:t>
      </w:r>
      <w:r w:rsidRPr="000F077F">
        <w:rPr>
          <w:rFonts w:ascii="Times New Roman" w:eastAsia="Times New Roman" w:hAnsi="Times New Roman" w:cs="Times New Roman"/>
          <w:lang w:val="en-US"/>
        </w:rPr>
        <w:t>.; Moskalev A. Terpenoids as Potential Geroprotectors. </w:t>
      </w:r>
      <w:r>
        <w:rPr>
          <w:rFonts w:ascii="Times New Roman" w:eastAsia="Times New Roman" w:hAnsi="Times New Roman" w:cs="Times New Roman"/>
        </w:rPr>
        <w:t xml:space="preserve">Antioxidants 2020 , 9 , 529 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https://doi.org/10.3390/antiox9060529</w:t>
        </w:r>
      </w:hyperlink>
    </w:p>
    <w:p w14:paraId="00000028" w14:textId="77777777" w:rsidR="00FC2A52" w:rsidRPr="00F85856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Kudryavtseva A, Krasnov G, Lipatova A, Alekseev B, Maganova F, Shaposhnikov M, Fedorova M, Snezhkina A, Moskalev A. Effects of Abies sibirica terpenes on cancer- and aging-associated pathways in human cells. </w:t>
      </w:r>
      <w:r w:rsidRPr="00F85856">
        <w:rPr>
          <w:rFonts w:ascii="Times New Roman" w:eastAsia="Times New Roman" w:hAnsi="Times New Roman" w:cs="Times New Roman"/>
          <w:lang w:val="en-US"/>
        </w:rPr>
        <w:t>Oncotarget. 2016; 7:83744–54. 10.18632/oncotarget.13467 - DOI - PMC – PubMed</w:t>
      </w:r>
    </w:p>
    <w:p w14:paraId="0000002A" w14:textId="77777777" w:rsidR="00FC2A52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Walters SJ, Munro JF, Brazier JE. Using the SF-36 with older adults: a cross-sectional community-based survey. </w:t>
      </w:r>
      <w:r>
        <w:rPr>
          <w:rFonts w:ascii="Times New Roman" w:eastAsia="Times New Roman" w:hAnsi="Times New Roman" w:cs="Times New Roman"/>
        </w:rPr>
        <w:t>Age Ageing. июль 2001 г.;30(4):337–43.</w:t>
      </w:r>
    </w:p>
    <w:p w14:paraId="0000002C" w14:textId="77777777" w:rsidR="00FC2A52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Совета Евразийской экономической комиссии от 3 ноября 2016 года №79 №Об утверждении Правил надлежащей клинической практики Евразийского экономического союза» [Интернет]. 2016. Доступно на: https://docs.eaeunion.org/docs/ru- ru/01411924/cncd_21112016_79</w:t>
      </w:r>
    </w:p>
    <w:p w14:paraId="0000002E" w14:textId="77777777" w:rsidR="00FC2A52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Совета Евразийской экономической комиссии от 3 ноября 2016 г. № 87 «Об утверждении Правил надлежащей практики фармаконадзора Евразийского экономического союза» [Интернет]. 2016. Доступно на: https://docs.eaeunion.org/docs/ru- ru/01411948/cncd_21112016_87</w:t>
      </w:r>
    </w:p>
    <w:p w14:paraId="00000030" w14:textId="77777777" w:rsidR="00FC2A52" w:rsidRPr="000F077F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Fedintsev A, Kashtanova D, Tkacheva O, Strazhesko I, Kudryavtseva A, Baranova A, </w:t>
      </w:r>
      <w:r>
        <w:rPr>
          <w:rFonts w:ascii="Times New Roman" w:eastAsia="Times New Roman" w:hAnsi="Times New Roman" w:cs="Times New Roman"/>
        </w:rPr>
        <w:t>и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др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. Markers of arterial health could serve as accurate non-invasive predictors of human biological and chronological age. Aging. </w:t>
      </w:r>
      <w:r>
        <w:rPr>
          <w:rFonts w:ascii="Times New Roman" w:eastAsia="Times New Roman" w:hAnsi="Times New Roman" w:cs="Times New Roman"/>
        </w:rPr>
        <w:t>апрель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 2017 </w:t>
      </w:r>
      <w:r>
        <w:rPr>
          <w:rFonts w:ascii="Times New Roman" w:eastAsia="Times New Roman" w:hAnsi="Times New Roman" w:cs="Times New Roman"/>
        </w:rPr>
        <w:t>г</w:t>
      </w:r>
      <w:r w:rsidRPr="000F077F">
        <w:rPr>
          <w:rFonts w:ascii="Times New Roman" w:eastAsia="Times New Roman" w:hAnsi="Times New Roman" w:cs="Times New Roman"/>
          <w:lang w:val="en-US"/>
        </w:rPr>
        <w:t>.;9(4):1280–92.</w:t>
      </w:r>
    </w:p>
    <w:p w14:paraId="00000032" w14:textId="77777777" w:rsidR="00FC2A52" w:rsidRPr="000F077F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Putin E, Mamoshina P, Aliper A, Korzinkin M, Moskalev A, Kolosov A, </w:t>
      </w:r>
      <w:r>
        <w:rPr>
          <w:rFonts w:ascii="Times New Roman" w:eastAsia="Times New Roman" w:hAnsi="Times New Roman" w:cs="Times New Roman"/>
        </w:rPr>
        <w:t>и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др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. Deep biomarkers of human aging: Application of deep neural networks to biomarker development. Aging. </w:t>
      </w:r>
      <w:r>
        <w:rPr>
          <w:rFonts w:ascii="Times New Roman" w:eastAsia="Times New Roman" w:hAnsi="Times New Roman" w:cs="Times New Roman"/>
        </w:rPr>
        <w:t>май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 2016 </w:t>
      </w:r>
      <w:r>
        <w:rPr>
          <w:rFonts w:ascii="Times New Roman" w:eastAsia="Times New Roman" w:hAnsi="Times New Roman" w:cs="Times New Roman"/>
        </w:rPr>
        <w:t>г</w:t>
      </w:r>
      <w:r w:rsidRPr="000F077F">
        <w:rPr>
          <w:rFonts w:ascii="Times New Roman" w:eastAsia="Times New Roman" w:hAnsi="Times New Roman" w:cs="Times New Roman"/>
          <w:lang w:val="en-US"/>
        </w:rPr>
        <w:t>.;8(5):1021–33.</w:t>
      </w:r>
    </w:p>
    <w:p w14:paraId="00000034" w14:textId="77777777" w:rsidR="00FC2A52" w:rsidRPr="00F85856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lastRenderedPageBreak/>
        <w:t xml:space="preserve">Williams B, Mancia G, Spiering W, Agabiti Rosei E, Azizi M, Burnier M, </w:t>
      </w:r>
      <w:r>
        <w:rPr>
          <w:rFonts w:ascii="Times New Roman" w:eastAsia="Times New Roman" w:hAnsi="Times New Roman" w:cs="Times New Roman"/>
        </w:rPr>
        <w:t>и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др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. 2018 ESC/ESH Guidelines for the management of arterial hypertension. </w:t>
      </w:r>
      <w:r w:rsidRPr="00F85856">
        <w:rPr>
          <w:rFonts w:ascii="Times New Roman" w:eastAsia="Times New Roman" w:hAnsi="Times New Roman" w:cs="Times New Roman"/>
          <w:lang w:val="en-US"/>
        </w:rPr>
        <w:t xml:space="preserve">Eur Heart J. 1 </w:t>
      </w:r>
      <w:r>
        <w:rPr>
          <w:rFonts w:ascii="Times New Roman" w:eastAsia="Times New Roman" w:hAnsi="Times New Roman" w:cs="Times New Roman"/>
        </w:rPr>
        <w:t>сентябрь</w:t>
      </w:r>
      <w:r w:rsidRPr="00F85856">
        <w:rPr>
          <w:rFonts w:ascii="Times New Roman" w:eastAsia="Times New Roman" w:hAnsi="Times New Roman" w:cs="Times New Roman"/>
          <w:lang w:val="en-US"/>
        </w:rPr>
        <w:t xml:space="preserve"> 2018 </w:t>
      </w:r>
      <w:r>
        <w:rPr>
          <w:rFonts w:ascii="Times New Roman" w:eastAsia="Times New Roman" w:hAnsi="Times New Roman" w:cs="Times New Roman"/>
        </w:rPr>
        <w:t>г</w:t>
      </w:r>
      <w:r w:rsidRPr="00F85856">
        <w:rPr>
          <w:rFonts w:ascii="Times New Roman" w:eastAsia="Times New Roman" w:hAnsi="Times New Roman" w:cs="Times New Roman"/>
          <w:lang w:val="en-US"/>
        </w:rPr>
        <w:t>.;39(33):3021–104.</w:t>
      </w:r>
    </w:p>
    <w:p w14:paraId="00000036" w14:textId="77777777" w:rsidR="00FC2A52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Decision of the Dusseldorf District Court 26 July 2012 – Case No 4a O 282/10. “Bolar Exemption (Solifenacin) – Germany”: Directive 2001/83/EC of the European Parliament and of the Council of 6 November 2001 on the Community Code Relating to Medicinal Products for Human Use, Art. 10(6); Patent Act, Sec. 11(2) and (2)(b). </w:t>
      </w:r>
      <w:r>
        <w:rPr>
          <w:rFonts w:ascii="Times New Roman" w:eastAsia="Times New Roman" w:hAnsi="Times New Roman" w:cs="Times New Roman"/>
        </w:rPr>
        <w:t>IIC - Int Rev Intellect Prop Compet Law. май 2013 г.;44(3):361–2.</w:t>
      </w:r>
    </w:p>
    <w:p w14:paraId="00000038" w14:textId="77777777" w:rsidR="00FC2A52" w:rsidRPr="000F077F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t>ICH Topic E 2 A Clinical Safety Data Management: Definitions and Standards for Expedited Reporting</w:t>
      </w:r>
      <w:r w:rsidRPr="000F077F">
        <w:rPr>
          <w:rFonts w:ascii="Times New Roman" w:eastAsia="Times New Roman" w:hAnsi="Times New Roman" w:cs="Times New Roman"/>
          <w:lang w:val="en-US"/>
        </w:rPr>
        <w:tab/>
        <w:t>[</w:t>
      </w:r>
      <w:r>
        <w:rPr>
          <w:rFonts w:ascii="Times New Roman" w:eastAsia="Times New Roman" w:hAnsi="Times New Roman" w:cs="Times New Roman"/>
        </w:rPr>
        <w:t>Интернет</w:t>
      </w:r>
      <w:r w:rsidRPr="000F077F">
        <w:rPr>
          <w:rFonts w:ascii="Times New Roman" w:eastAsia="Times New Roman" w:hAnsi="Times New Roman" w:cs="Times New Roman"/>
          <w:lang w:val="en-US"/>
        </w:rPr>
        <w:t>].</w:t>
      </w:r>
      <w:r w:rsidRPr="000F077F">
        <w:rPr>
          <w:rFonts w:ascii="Times New Roman" w:eastAsia="Times New Roman" w:hAnsi="Times New Roman" w:cs="Times New Roman"/>
          <w:lang w:val="en-US"/>
        </w:rPr>
        <w:tab/>
        <w:t>1995.</w:t>
      </w:r>
      <w:r w:rsidRPr="000F077F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>Доступно</w:t>
      </w:r>
      <w:r w:rsidRPr="000F077F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>на</w:t>
      </w:r>
      <w:r w:rsidRPr="000F077F">
        <w:rPr>
          <w:rFonts w:ascii="Times New Roman" w:eastAsia="Times New Roman" w:hAnsi="Times New Roman" w:cs="Times New Roman"/>
          <w:lang w:val="en-US"/>
        </w:rPr>
        <w:t>: https:/</w:t>
      </w:r>
      <w:hyperlink r:id="rId10">
        <w:r w:rsidRPr="000F077F">
          <w:rPr>
            <w:rFonts w:ascii="Times New Roman" w:eastAsia="Times New Roman" w:hAnsi="Times New Roman" w:cs="Times New Roman"/>
            <w:u w:val="single"/>
            <w:lang w:val="en-US"/>
          </w:rPr>
          <w:t>/www.ema.europa</w:t>
        </w:r>
      </w:hyperlink>
      <w:r w:rsidRPr="000F077F">
        <w:rPr>
          <w:rFonts w:ascii="Times New Roman" w:eastAsia="Times New Roman" w:hAnsi="Times New Roman" w:cs="Times New Roman"/>
          <w:lang w:val="en-US"/>
        </w:rPr>
        <w:t>.</w:t>
      </w:r>
      <w:hyperlink r:id="rId11">
        <w:r w:rsidRPr="000F077F">
          <w:rPr>
            <w:rFonts w:ascii="Times New Roman" w:eastAsia="Times New Roman" w:hAnsi="Times New Roman" w:cs="Times New Roman"/>
            <w:u w:val="single"/>
            <w:lang w:val="en-US"/>
          </w:rPr>
          <w:t>eu/en/documents/scientific-guideline/international-conference-</w:t>
        </w:r>
      </w:hyperlink>
      <w:r w:rsidRPr="000F077F">
        <w:rPr>
          <w:rFonts w:ascii="Times New Roman" w:eastAsia="Times New Roman" w:hAnsi="Times New Roman" w:cs="Times New Roman"/>
          <w:lang w:val="en-US"/>
        </w:rPr>
        <w:t xml:space="preserve"> harmonisation-technical-requirements-registration-pharmaceuticals-human-use_en-15.pdf</w:t>
      </w:r>
    </w:p>
    <w:p w14:paraId="0000003A" w14:textId="77777777" w:rsidR="00FC2A52" w:rsidRPr="000F077F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t>R: Regulatory Compliance and Validation Issues A Guidance Document for the Use of R in Regulated Clinical Trial Environments [</w:t>
      </w:r>
      <w:r>
        <w:rPr>
          <w:rFonts w:ascii="Times New Roman" w:eastAsia="Times New Roman" w:hAnsi="Times New Roman" w:cs="Times New Roman"/>
        </w:rPr>
        <w:t>Интернет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]. 2018. </w:t>
      </w:r>
      <w:r>
        <w:rPr>
          <w:rFonts w:ascii="Times New Roman" w:eastAsia="Times New Roman" w:hAnsi="Times New Roman" w:cs="Times New Roman"/>
        </w:rPr>
        <w:t>Доступно</w:t>
      </w:r>
      <w:r w:rsidRPr="000F077F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Pr="000F077F">
        <w:rPr>
          <w:rFonts w:ascii="Times New Roman" w:eastAsia="Times New Roman" w:hAnsi="Times New Roman" w:cs="Times New Roman"/>
          <w:lang w:val="en-US"/>
        </w:rPr>
        <w:t>: https://www.r- project.org/doc/R-FDA.pdf</w:t>
      </w:r>
    </w:p>
    <w:p w14:paraId="0000003C" w14:textId="77777777" w:rsidR="00FC2A52" w:rsidRPr="00F85856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Gammone MA, Riccioni G, Parrinello G, D’Orazio N. Omega-3 Polyunsaturated Fatty Acids: Benefits and Endpoints in Sport. </w:t>
      </w:r>
      <w:r w:rsidRPr="00F85856">
        <w:rPr>
          <w:rFonts w:ascii="Times New Roman" w:eastAsia="Times New Roman" w:hAnsi="Times New Roman" w:cs="Times New Roman"/>
          <w:lang w:val="en-US"/>
        </w:rPr>
        <w:t xml:space="preserve">Nutrients. </w:t>
      </w:r>
      <w:r>
        <w:rPr>
          <w:rFonts w:ascii="Times New Roman" w:eastAsia="Times New Roman" w:hAnsi="Times New Roman" w:cs="Times New Roman"/>
        </w:rPr>
        <w:t>январь</w:t>
      </w:r>
      <w:r w:rsidRPr="00F85856">
        <w:rPr>
          <w:rFonts w:ascii="Times New Roman" w:eastAsia="Times New Roman" w:hAnsi="Times New Roman" w:cs="Times New Roman"/>
          <w:lang w:val="en-US"/>
        </w:rPr>
        <w:t xml:space="preserve"> 2019 </w:t>
      </w:r>
      <w:r>
        <w:rPr>
          <w:rFonts w:ascii="Times New Roman" w:eastAsia="Times New Roman" w:hAnsi="Times New Roman" w:cs="Times New Roman"/>
        </w:rPr>
        <w:t>г</w:t>
      </w:r>
      <w:r w:rsidRPr="00F85856">
        <w:rPr>
          <w:rFonts w:ascii="Times New Roman" w:eastAsia="Times New Roman" w:hAnsi="Times New Roman" w:cs="Times New Roman"/>
          <w:lang w:val="en-US"/>
        </w:rPr>
        <w:t>.;11(1):46.</w:t>
      </w:r>
    </w:p>
    <w:p w14:paraId="0000003E" w14:textId="77777777" w:rsidR="00FC2A52" w:rsidRPr="00F85856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lang w:val="en-US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Shahidi F, Ambigaipalan P. Omega-3 Polyunsaturated Fatty Acids and Their Health Benefits. </w:t>
      </w:r>
      <w:r w:rsidRPr="00F85856">
        <w:rPr>
          <w:rFonts w:ascii="Times New Roman" w:eastAsia="Times New Roman" w:hAnsi="Times New Roman" w:cs="Times New Roman"/>
          <w:lang w:val="en-US"/>
        </w:rPr>
        <w:t xml:space="preserve">Annu Rev Food Sci Technol. 2018 </w:t>
      </w:r>
      <w:r>
        <w:rPr>
          <w:rFonts w:ascii="Times New Roman" w:eastAsia="Times New Roman" w:hAnsi="Times New Roman" w:cs="Times New Roman"/>
        </w:rPr>
        <w:t>г</w:t>
      </w:r>
      <w:r w:rsidRPr="00F85856">
        <w:rPr>
          <w:rFonts w:ascii="Times New Roman" w:eastAsia="Times New Roman" w:hAnsi="Times New Roman" w:cs="Times New Roman"/>
          <w:lang w:val="en-US"/>
        </w:rPr>
        <w:t>.;9(1):345–81.</w:t>
      </w:r>
    </w:p>
    <w:p w14:paraId="00000040" w14:textId="77777777" w:rsidR="00FC2A52" w:rsidRDefault="00000000" w:rsidP="00F8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</w:rPr>
      </w:pPr>
      <w:r w:rsidRPr="000F077F">
        <w:rPr>
          <w:rFonts w:ascii="Times New Roman" w:eastAsia="Times New Roman" w:hAnsi="Times New Roman" w:cs="Times New Roman"/>
          <w:lang w:val="en-US"/>
        </w:rPr>
        <w:t xml:space="preserve">Weber P, Bendich A, Machlin LJ. Vitamin E and human health: Rationale for determining recommended intake levels. </w:t>
      </w:r>
      <w:r>
        <w:rPr>
          <w:rFonts w:ascii="Times New Roman" w:eastAsia="Times New Roman" w:hAnsi="Times New Roman" w:cs="Times New Roman"/>
        </w:rPr>
        <w:t>Nutrition. 1 май 1997 г.;13(5):450–60.</w:t>
      </w:r>
    </w:p>
    <w:sectPr w:rsidR="00FC2A52">
      <w:headerReference w:type="default" r:id="rId12"/>
      <w:footerReference w:type="default" r:id="rId13"/>
      <w:pgSz w:w="11900" w:h="16840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EB25" w14:textId="77777777" w:rsidR="00F167C7" w:rsidRDefault="00F167C7">
      <w:pPr>
        <w:spacing w:line="240" w:lineRule="auto"/>
        <w:ind w:left="0" w:hanging="2"/>
      </w:pPr>
      <w:r>
        <w:separator/>
      </w:r>
    </w:p>
  </w:endnote>
  <w:endnote w:type="continuationSeparator" w:id="0">
    <w:p w14:paraId="09727481" w14:textId="77777777" w:rsidR="00F167C7" w:rsidRDefault="00F167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C2A52" w:rsidRDefault="00FC2A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D504" w14:textId="77777777" w:rsidR="00F167C7" w:rsidRDefault="00F167C7">
      <w:pPr>
        <w:spacing w:line="240" w:lineRule="auto"/>
        <w:ind w:left="0" w:hanging="2"/>
      </w:pPr>
      <w:r>
        <w:separator/>
      </w:r>
    </w:p>
  </w:footnote>
  <w:footnote w:type="continuationSeparator" w:id="0">
    <w:p w14:paraId="2B8764F4" w14:textId="77777777" w:rsidR="00F167C7" w:rsidRDefault="00F167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FC2A52" w:rsidRDefault="00FC2A5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0891"/>
    <w:multiLevelType w:val="multilevel"/>
    <w:tmpl w:val="A378BB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7736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52"/>
    <w:rsid w:val="000E3067"/>
    <w:rsid w:val="000F077F"/>
    <w:rsid w:val="00141861"/>
    <w:rsid w:val="00241566"/>
    <w:rsid w:val="00376B3B"/>
    <w:rsid w:val="0042433D"/>
    <w:rsid w:val="0047227C"/>
    <w:rsid w:val="004C3D0F"/>
    <w:rsid w:val="005E5A36"/>
    <w:rsid w:val="00636712"/>
    <w:rsid w:val="00957B23"/>
    <w:rsid w:val="009957CD"/>
    <w:rsid w:val="00BD2286"/>
    <w:rsid w:val="00E91A97"/>
    <w:rsid w:val="00F167C7"/>
    <w:rsid w:val="00F85856"/>
    <w:rsid w:val="00F93ABF"/>
    <w:rsid w:val="00F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2167"/>
  <w15:docId w15:val="{D737687B-C432-4E5C-8FDB-7A866D80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Верхн./нижн. кол."/>
    <w:pP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</w:rPr>
  </w:style>
  <w:style w:type="character" w:customStyle="1" w:styleId="a6">
    <w:name w:val="Нет"/>
    <w:rPr>
      <w:w w:val="100"/>
      <w:position w:val="-1"/>
      <w:effect w:val="none"/>
      <w:vertAlign w:val="baseline"/>
      <w:cs w:val="0"/>
      <w:em w:val="none"/>
      <w:lang w:val="ru-RU"/>
    </w:rPr>
  </w:style>
  <w:style w:type="paragraph" w:customStyle="1" w:styleId="a7">
    <w:name w:val="По умолчанию"/>
    <w:pPr>
      <w:suppressAutoHyphens/>
      <w:spacing w:before="160" w:line="288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</w:rPr>
  </w:style>
  <w:style w:type="paragraph" w:styleId="a8">
    <w:name w:val="List Paragraph"/>
    <w:basedOn w:val="a"/>
    <w:pPr>
      <w:widowControl w:val="0"/>
      <w:autoSpaceDE w:val="0"/>
      <w:autoSpaceDN w:val="0"/>
      <w:ind w:left="941" w:hanging="361"/>
    </w:pPr>
    <w:rPr>
      <w:rFonts w:ascii="Times New Roman" w:eastAsia="Times New Roman" w:hAnsi="Times New Roman" w:cs="Times New Roman"/>
      <w:color w:val="auto"/>
      <w:sz w:val="22"/>
      <w:szCs w:val="22"/>
    </w:rPr>
  </w:style>
  <w:style w:type="numbering" w:customStyle="1" w:styleId="10">
    <w:name w:val="Импортированный стиль 1"/>
  </w:style>
  <w:style w:type="paragraph" w:customStyle="1" w:styleId="a9">
    <w:name w:val="Обычный (веб)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before="20"/>
      <w:jc w:val="center"/>
    </w:pPr>
    <w:rPr>
      <w:rFonts w:ascii="Microsoft Sans Serif" w:eastAsia="Microsoft Sans Serif" w:hAnsi="Microsoft Sans Serif" w:cs="Microsoft Sans Serif"/>
      <w:color w:val="auto"/>
      <w:sz w:val="22"/>
      <w:szCs w:val="22"/>
    </w:rPr>
  </w:style>
  <w:style w:type="paragraph" w:styleId="aa">
    <w:name w:val="Body Text"/>
    <w:basedOn w:val="a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40">
    <w:name w:val="toc 4"/>
    <w:basedOn w:val="a"/>
    <w:pPr>
      <w:widowControl w:val="0"/>
      <w:autoSpaceDE w:val="0"/>
      <w:autoSpaceDN w:val="0"/>
      <w:spacing w:line="252" w:lineRule="atLeast"/>
      <w:ind w:left="1978" w:hanging="11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Unresolved Mention"/>
    <w:basedOn w:val="a0"/>
    <w:uiPriority w:val="99"/>
    <w:semiHidden/>
    <w:unhideWhenUsed/>
    <w:rsid w:val="00F8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ganova@initium-phar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a.europa.eu/en/documents/scientific-guideline/international-conference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ma.europa.eu/en/documents/scientific-guideline/international-conference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antiox90605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Ihg2WDgJlEsCjRNfOPhqyagUQ==">AMUW2mXOfRJ/C3kCsm1fOaPiKsuy68zb37hTTa/Bsk4DKnszh1HtZAlDd0ldYFT8vzYYjuj1xMJxoXP7p6lZpLYxm2EZUGgmPbU4ga4Z11UoHFYV6beeCRk=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Initium2</dc:creator>
  <cp:lastModifiedBy>Людмила Труханова</cp:lastModifiedBy>
  <cp:revision>2</cp:revision>
  <dcterms:created xsi:type="dcterms:W3CDTF">2022-09-11T17:41:00Z</dcterms:created>
  <dcterms:modified xsi:type="dcterms:W3CDTF">2022-09-11T17:41:00Z</dcterms:modified>
</cp:coreProperties>
</file>